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Pr="00735FBA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543F3C" w:rsidRPr="00543F3C" w:rsidRDefault="00543F3C" w:rsidP="00543F3C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543F3C">
        <w:rPr>
          <w:b/>
          <w:szCs w:val="20"/>
        </w:rPr>
        <w:t xml:space="preserve">Société STOCA </w:t>
      </w:r>
    </w:p>
    <w:p w:rsidR="00543F3C" w:rsidRDefault="00543F3C" w:rsidP="00543F3C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>3 &amp; 5 chemin du Génie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69200 Vénissieux</w:t>
      </w:r>
      <w:r>
        <w:rPr>
          <w:b/>
          <w:szCs w:val="20"/>
        </w:rPr>
        <w:br/>
      </w:r>
    </w:p>
    <w:p w:rsidR="00543F3C" w:rsidRDefault="00543F3C" w:rsidP="00543F3C">
      <w:pPr>
        <w:tabs>
          <w:tab w:val="left" w:pos="4678"/>
        </w:tabs>
        <w:rPr>
          <w:szCs w:val="20"/>
        </w:rPr>
      </w:pPr>
      <w:r>
        <w:rPr>
          <w:szCs w:val="20"/>
        </w:rPr>
        <w:t>Date : 7 avril 2016</w:t>
      </w:r>
      <w:r>
        <w:rPr>
          <w:szCs w:val="20"/>
        </w:rPr>
        <w:br/>
        <w:t>Réf. devis : AL2016-68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543F3C" w:rsidRPr="004F337E" w:rsidTr="00F155B1">
        <w:tc>
          <w:tcPr>
            <w:tcW w:w="10913" w:type="dxa"/>
            <w:shd w:val="clear" w:color="auto" w:fill="F2F2F2" w:themeFill="background1" w:themeFillShade="F2"/>
          </w:tcPr>
          <w:p w:rsidR="00543F3C" w:rsidRPr="00DD7FBB" w:rsidRDefault="00553AE5" w:rsidP="0065608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="00656084">
              <w:rPr>
                <w:b/>
                <w:szCs w:val="20"/>
              </w:rPr>
              <w:t>udit</w:t>
            </w:r>
            <w:r w:rsidR="00543F3C">
              <w:rPr>
                <w:b/>
                <w:szCs w:val="20"/>
              </w:rPr>
              <w:t xml:space="preserve"> et référencement de votre site internet</w:t>
            </w:r>
            <w:r w:rsidR="00543F3C" w:rsidRPr="00DD7FBB">
              <w:rPr>
                <w:b/>
                <w:szCs w:val="20"/>
              </w:rPr>
              <w:t xml:space="preserve"> </w:t>
            </w:r>
          </w:p>
        </w:tc>
      </w:tr>
    </w:tbl>
    <w:p w:rsidR="00D54335" w:rsidRPr="00553AE5" w:rsidRDefault="00656084" w:rsidP="00553AE5">
      <w:pPr>
        <w:tabs>
          <w:tab w:val="left" w:pos="567"/>
          <w:tab w:val="left" w:pos="9214"/>
        </w:tabs>
        <w:rPr>
          <w:szCs w:val="20"/>
        </w:rPr>
      </w:pPr>
      <w:r>
        <w:rPr>
          <w:rFonts w:eastAsia="Times New Roman"/>
          <w:b/>
          <w:bCs/>
          <w:szCs w:val="20"/>
          <w:lang w:eastAsia="fr-FR"/>
        </w:rPr>
        <w:br/>
      </w:r>
    </w:p>
    <w:p w:rsidR="009178ED" w:rsidRPr="00656084" w:rsidRDefault="009178ED" w:rsidP="00656084">
      <w:pPr>
        <w:rPr>
          <w:color w:val="595959" w:themeColor="text1" w:themeTint="A6"/>
          <w:szCs w:val="20"/>
        </w:rPr>
      </w:pPr>
      <w:r w:rsidRPr="00656084">
        <w:rPr>
          <w:b/>
          <w:color w:val="E25046"/>
          <w:szCs w:val="20"/>
        </w:rPr>
        <w:t>Audit de votre site et/ou de vos concurrents :</w:t>
      </w:r>
      <w:r w:rsidRPr="00656084">
        <w:rPr>
          <w:b/>
          <w:color w:val="E25046"/>
          <w:szCs w:val="20"/>
        </w:rPr>
        <w:br/>
      </w:r>
      <w:r w:rsidRPr="00656084">
        <w:rPr>
          <w:color w:val="595959" w:themeColor="text1" w:themeTint="A6"/>
          <w:szCs w:val="20"/>
        </w:rPr>
        <w:t>Les audit</w:t>
      </w:r>
      <w:r w:rsidR="00553AE5">
        <w:rPr>
          <w:color w:val="595959" w:themeColor="text1" w:themeTint="A6"/>
          <w:szCs w:val="20"/>
        </w:rPr>
        <w:t xml:space="preserve">s sont, de préférence, </w:t>
      </w:r>
      <w:r w:rsidRPr="00656084">
        <w:rPr>
          <w:color w:val="595959" w:themeColor="text1" w:themeTint="A6"/>
          <w:szCs w:val="20"/>
        </w:rPr>
        <w:t>effectuées en amont de la refonte de votre site</w:t>
      </w:r>
      <w:r w:rsidR="00553AE5">
        <w:rPr>
          <w:color w:val="595959" w:themeColor="text1" w:themeTint="A6"/>
          <w:szCs w:val="20"/>
        </w:rPr>
        <w:t>. En effet, l</w:t>
      </w:r>
      <w:r w:rsidRPr="00656084">
        <w:rPr>
          <w:color w:val="595959" w:themeColor="text1" w:themeTint="A6"/>
          <w:szCs w:val="20"/>
        </w:rPr>
        <w:t>es résultats obtenus peuvent avoir une influence sur la navigation et les contenus de votre site.</w:t>
      </w:r>
    </w:p>
    <w:p w:rsidR="002049B9" w:rsidRDefault="009178ED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 w:rsidRPr="002049B9">
        <w:rPr>
          <w:rFonts w:ascii="Verdana" w:hAnsi="Verdana"/>
          <w:b/>
          <w:sz w:val="20"/>
          <w:szCs w:val="20"/>
          <w:lang w:val="fr-FR"/>
        </w:rPr>
        <w:t>Audit de votre site internet :</w:t>
      </w:r>
      <w:r w:rsidRPr="002049B9">
        <w:rPr>
          <w:rFonts w:ascii="Verdana" w:hAnsi="Verdana"/>
          <w:b/>
          <w:sz w:val="20"/>
          <w:szCs w:val="20"/>
          <w:lang w:val="fr-FR"/>
        </w:rPr>
        <w:tab/>
        <w:t>200.00 €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9178ED" w:rsidRDefault="009178ED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 w:rsidRPr="002049B9">
        <w:rPr>
          <w:rFonts w:ascii="Verdana" w:hAnsi="Verdana"/>
          <w:b/>
          <w:sz w:val="20"/>
          <w:szCs w:val="20"/>
          <w:lang w:val="fr-FR"/>
        </w:rPr>
        <w:t xml:space="preserve">Audit de vos concurrents (limités à 3) : </w:t>
      </w:r>
      <w:r w:rsidRPr="002049B9">
        <w:rPr>
          <w:rFonts w:ascii="Verdana" w:hAnsi="Verdana"/>
          <w:b/>
          <w:sz w:val="20"/>
          <w:szCs w:val="20"/>
          <w:lang w:val="fr-FR"/>
        </w:rPr>
        <w:tab/>
        <w:t>350.00 €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656084" w:rsidRPr="00656084" w:rsidRDefault="00656084" w:rsidP="00553AE5">
      <w:pPr>
        <w:tabs>
          <w:tab w:val="right" w:pos="10490"/>
        </w:tabs>
        <w:ind w:left="851"/>
        <w:rPr>
          <w:szCs w:val="20"/>
        </w:rPr>
      </w:pPr>
      <w:r w:rsidRPr="00656084">
        <w:rPr>
          <w:szCs w:val="20"/>
        </w:rPr>
        <w:t xml:space="preserve">TVA applicable </w:t>
      </w:r>
      <w:r w:rsidR="00553AE5">
        <w:rPr>
          <w:szCs w:val="20"/>
        </w:rPr>
        <w:t xml:space="preserve">au taux de </w:t>
      </w:r>
      <w:r w:rsidRPr="00656084">
        <w:rPr>
          <w:szCs w:val="20"/>
        </w:rPr>
        <w:t>20%</w:t>
      </w:r>
    </w:p>
    <w:p w:rsidR="00656084" w:rsidRPr="00656084" w:rsidRDefault="00656084" w:rsidP="00656084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Conditions de règlement :</w:t>
      </w:r>
      <w:r w:rsidR="00D54335" w:rsidRPr="00D54335">
        <w:rPr>
          <w:rFonts w:ascii="Verdana" w:eastAsia="Times New Roman" w:hAnsi="Verdana"/>
          <w:bCs/>
          <w:color w:val="2C3E50"/>
          <w:sz w:val="20"/>
          <w:szCs w:val="20"/>
          <w:lang w:val="fr-FR" w:eastAsia="fr-FR"/>
        </w:rPr>
        <w:t xml:space="preserve"> </w:t>
      </w:r>
      <w:r w:rsidR="00D54335">
        <w:rPr>
          <w:rFonts w:ascii="Verdana" w:eastAsia="Times New Roman" w:hAnsi="Verdana"/>
          <w:bCs/>
          <w:color w:val="2C3E50"/>
          <w:sz w:val="20"/>
          <w:szCs w:val="20"/>
          <w:lang w:val="fr-FR" w:eastAsia="fr-FR"/>
        </w:rPr>
        <w:t>à</w:t>
      </w:r>
      <w:r>
        <w:rPr>
          <w:rFonts w:ascii="Verdana" w:hAnsi="Verdana"/>
          <w:sz w:val="20"/>
          <w:szCs w:val="20"/>
          <w:lang w:val="fr-FR"/>
        </w:rPr>
        <w:t xml:space="preserve"> réception de la facture</w:t>
      </w:r>
    </w:p>
    <w:p w:rsidR="009178ED" w:rsidRDefault="009178ED" w:rsidP="00543F3C">
      <w:pPr>
        <w:rPr>
          <w:szCs w:val="20"/>
        </w:rPr>
      </w:pPr>
    </w:p>
    <w:p w:rsidR="00553AE5" w:rsidRDefault="00553AE5" w:rsidP="00543F3C">
      <w:pPr>
        <w:rPr>
          <w:szCs w:val="20"/>
        </w:rPr>
      </w:pPr>
    </w:p>
    <w:p w:rsidR="002D4FE2" w:rsidRPr="00D54335" w:rsidRDefault="002D4FE2" w:rsidP="00D54335">
      <w:pPr>
        <w:spacing w:after="0"/>
        <w:rPr>
          <w:b/>
          <w:color w:val="E25046"/>
          <w:szCs w:val="20"/>
        </w:rPr>
      </w:pPr>
      <w:r w:rsidRPr="00D54335">
        <w:rPr>
          <w:b/>
          <w:color w:val="E25046"/>
          <w:szCs w:val="20"/>
        </w:rPr>
        <w:t xml:space="preserve">Référencement naturel de votre site sur une durée d’un an : </w:t>
      </w:r>
      <w:r w:rsidR="00553AE5">
        <w:rPr>
          <w:b/>
          <w:color w:val="E25046"/>
          <w:szCs w:val="20"/>
        </w:rPr>
        <w:br/>
      </w:r>
      <w:r w:rsidR="00553AE5">
        <w:rPr>
          <w:szCs w:val="20"/>
        </w:rPr>
        <w:t>Ce devis sera affiné en fonction de vos mots-clés, de leu</w:t>
      </w:r>
      <w:r w:rsidR="008451BF">
        <w:rPr>
          <w:szCs w:val="20"/>
        </w:rPr>
        <w:t>r faisabilité, des pages de votre site internet</w:t>
      </w:r>
    </w:p>
    <w:p w:rsidR="002D4FE2" w:rsidRPr="002D4FE2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Audit marketing sur le choix des mots-clés (limité à 1 par page)</w:t>
      </w:r>
    </w:p>
    <w:p w:rsidR="002D4FE2" w:rsidRPr="002D4FE2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Préconisations textuelles et techniques</w:t>
      </w:r>
    </w:p>
    <w:p w:rsidR="00656084" w:rsidRPr="00656084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7264B">
        <w:rPr>
          <w:rFonts w:ascii="Verdana" w:hAnsi="Verdana"/>
          <w:sz w:val="20"/>
          <w:szCs w:val="20"/>
          <w:lang w:val="fr-FR"/>
        </w:rPr>
        <w:t xml:space="preserve">Optimisation manuelle </w:t>
      </w:r>
      <w:r w:rsidR="0017264B">
        <w:rPr>
          <w:rFonts w:ascii="Verdana" w:hAnsi="Verdana"/>
          <w:sz w:val="20"/>
          <w:szCs w:val="20"/>
          <w:lang w:val="fr-FR"/>
        </w:rPr>
        <w:t xml:space="preserve">des </w:t>
      </w:r>
      <w:r w:rsidR="00656084">
        <w:rPr>
          <w:rFonts w:ascii="Verdana" w:hAnsi="Verdana"/>
          <w:sz w:val="20"/>
          <w:szCs w:val="20"/>
          <w:lang w:val="fr-FR"/>
        </w:rPr>
        <w:t>métadonnées</w:t>
      </w:r>
    </w:p>
    <w:p w:rsidR="00656084" w:rsidRDefault="00656084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hAnsi="Verdana"/>
          <w:sz w:val="20"/>
          <w:szCs w:val="20"/>
          <w:lang w:val="fr-FR"/>
        </w:rPr>
        <w:t xml:space="preserve">Optimisation manuelle des </w:t>
      </w:r>
      <w:r>
        <w:rPr>
          <w:rFonts w:ascii="Verdana" w:hAnsi="Verdana"/>
          <w:sz w:val="20"/>
          <w:szCs w:val="20"/>
          <w:lang w:val="fr-FR"/>
        </w:rPr>
        <w:t xml:space="preserve">contenus </w:t>
      </w:r>
    </w:p>
    <w:p w:rsidR="002D4FE2" w:rsidRPr="00656084" w:rsidRDefault="00656084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656084">
        <w:rPr>
          <w:rFonts w:ascii="Verdana" w:hAnsi="Verdana"/>
          <w:sz w:val="20"/>
          <w:szCs w:val="20"/>
          <w:lang w:val="fr-FR"/>
        </w:rPr>
        <w:t>Préconisations textuelles</w:t>
      </w:r>
      <w:r w:rsidR="002D4FE2" w:rsidRPr="00656084">
        <w:rPr>
          <w:rFonts w:ascii="Verdana" w:hAnsi="Verdana"/>
          <w:sz w:val="20"/>
          <w:szCs w:val="20"/>
          <w:lang w:val="fr-FR"/>
        </w:rPr>
        <w:t xml:space="preserve"> </w:t>
      </w:r>
    </w:p>
    <w:p w:rsidR="002049B9" w:rsidRPr="0017264B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Réécriture des urls</w:t>
      </w:r>
    </w:p>
    <w:p w:rsidR="002D4FE2" w:rsidRPr="002D4FE2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Inscription du site sur 3</w:t>
      </w:r>
      <w:r w:rsidR="002D4FE2" w:rsidRPr="002D4FE2">
        <w:rPr>
          <w:rFonts w:ascii="Verdana" w:hAnsi="Verdana"/>
          <w:sz w:val="20"/>
          <w:szCs w:val="20"/>
          <w:lang w:val="fr-FR"/>
        </w:rPr>
        <w:t>0 outils pour l’obtention de liens de qualité</w:t>
      </w:r>
    </w:p>
    <w:p w:rsidR="002D4FE2" w:rsidRPr="002049B9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553AE5" w:rsidRPr="00656084" w:rsidRDefault="00543F3C" w:rsidP="00553AE5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H.T. </w:t>
      </w:r>
      <w:r w:rsidR="00BA010A">
        <w:rPr>
          <w:rFonts w:eastAsia="Times New Roman" w:cs="Times New Roman"/>
          <w:b/>
          <w:bCs/>
          <w:szCs w:val="20"/>
          <w:lang w:eastAsia="fr-FR"/>
        </w:rPr>
        <w:t>estimatif</w:t>
      </w:r>
      <w:r w:rsidRPr="00771803">
        <w:rPr>
          <w:rFonts w:eastAsia="Times New Roman" w:cs="Times New Roman"/>
          <w:b/>
          <w:bCs/>
          <w:szCs w:val="20"/>
          <w:lang w:eastAsia="fr-FR"/>
        </w:rPr>
        <w:tab/>
      </w:r>
      <w:r w:rsidR="00BA010A">
        <w:rPr>
          <w:rFonts w:eastAsia="Times New Roman" w:cs="Times New Roman"/>
          <w:b/>
          <w:bCs/>
          <w:szCs w:val="20"/>
          <w:lang w:eastAsia="fr-FR"/>
        </w:rPr>
        <w:t xml:space="preserve">Entre </w:t>
      </w:r>
      <w:r w:rsidR="00656084">
        <w:rPr>
          <w:rFonts w:eastAsia="Times New Roman" w:cs="Times New Roman"/>
          <w:b/>
          <w:bCs/>
          <w:szCs w:val="20"/>
          <w:lang w:eastAsia="fr-FR"/>
        </w:rPr>
        <w:t>1</w:t>
      </w:r>
      <w:r w:rsidR="00D54335">
        <w:rPr>
          <w:rFonts w:eastAsia="Times New Roman" w:cs="Times New Roman"/>
          <w:b/>
          <w:bCs/>
          <w:szCs w:val="20"/>
          <w:lang w:eastAsia="fr-FR"/>
        </w:rPr>
        <w:t> </w:t>
      </w:r>
      <w:r w:rsidR="00BA010A">
        <w:rPr>
          <w:rFonts w:eastAsia="Times New Roman" w:cs="Times New Roman"/>
          <w:b/>
          <w:bCs/>
          <w:szCs w:val="20"/>
          <w:lang w:eastAsia="fr-FR"/>
        </w:rPr>
        <w:t>56</w:t>
      </w:r>
      <w:r w:rsidR="00D54335">
        <w:rPr>
          <w:rFonts w:eastAsia="Times New Roman" w:cs="Times New Roman"/>
          <w:b/>
          <w:bCs/>
          <w:szCs w:val="20"/>
          <w:lang w:eastAsia="fr-FR"/>
        </w:rPr>
        <w:t xml:space="preserve">0.00 € </w:t>
      </w:r>
      <w:r w:rsidR="00BA010A">
        <w:rPr>
          <w:rFonts w:eastAsia="Times New Roman" w:cs="Times New Roman"/>
          <w:b/>
          <w:bCs/>
          <w:szCs w:val="20"/>
          <w:lang w:eastAsia="fr-FR"/>
        </w:rPr>
        <w:t>et 1800.00 €</w:t>
      </w:r>
      <w:r w:rsidRPr="00771803">
        <w:rPr>
          <w:rFonts w:eastAsia="Times New Roman" w:cs="Times New Roman"/>
          <w:b/>
          <w:bCs/>
          <w:szCs w:val="20"/>
          <w:lang w:eastAsia="fr-FR"/>
        </w:rPr>
        <w:br/>
      </w:r>
      <w:r w:rsidR="00553AE5" w:rsidRPr="00656084">
        <w:rPr>
          <w:szCs w:val="20"/>
        </w:rPr>
        <w:t xml:space="preserve">TVA applicable </w:t>
      </w:r>
      <w:r w:rsidR="00553AE5">
        <w:rPr>
          <w:szCs w:val="20"/>
        </w:rPr>
        <w:t xml:space="preserve">au taux de </w:t>
      </w:r>
      <w:r w:rsidR="00553AE5" w:rsidRPr="00656084">
        <w:rPr>
          <w:szCs w:val="20"/>
        </w:rPr>
        <w:t>20%</w:t>
      </w:r>
    </w:p>
    <w:p w:rsidR="00543F3C" w:rsidRDefault="00543F3C" w:rsidP="00553AE5">
      <w:pPr>
        <w:tabs>
          <w:tab w:val="left" w:pos="1134"/>
          <w:tab w:val="right" w:pos="10490"/>
        </w:tabs>
        <w:ind w:left="851"/>
        <w:rPr>
          <w:szCs w:val="20"/>
        </w:rPr>
      </w:pPr>
      <w:r w:rsidRPr="00656084">
        <w:rPr>
          <w:rFonts w:eastAsia="Times New Roman" w:cs="Times New Roman"/>
          <w:b/>
          <w:bCs/>
          <w:color w:val="2C3E50"/>
          <w:szCs w:val="20"/>
          <w:lang w:eastAsia="fr-FR"/>
        </w:rPr>
        <w:t>Conditions de règlement :</w:t>
      </w:r>
      <w:r w:rsidR="00D54335">
        <w:rPr>
          <w:rFonts w:eastAsia="Times New Roman"/>
          <w:b/>
          <w:bCs/>
          <w:color w:val="2C3E50"/>
          <w:szCs w:val="20"/>
          <w:lang w:eastAsia="fr-FR"/>
        </w:rPr>
        <w:t xml:space="preserve"> </w:t>
      </w:r>
      <w:r w:rsidRPr="00656084">
        <w:rPr>
          <w:szCs w:val="20"/>
        </w:rPr>
        <w:t xml:space="preserve">Règlement </w:t>
      </w:r>
      <w:r w:rsidR="00F127F1">
        <w:rPr>
          <w:szCs w:val="20"/>
        </w:rPr>
        <w:t xml:space="preserve">mensuel </w:t>
      </w:r>
      <w:r w:rsidR="00D54335">
        <w:rPr>
          <w:szCs w:val="20"/>
        </w:rPr>
        <w:t>à réception de la facture</w:t>
      </w:r>
    </w:p>
    <w:p w:rsidR="00656084" w:rsidRPr="00656084" w:rsidRDefault="00656084" w:rsidP="00656084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sz w:val="20"/>
          <w:szCs w:val="20"/>
          <w:lang w:val="fr-FR"/>
        </w:rPr>
      </w:pPr>
    </w:p>
    <w:p w:rsidR="00543F3C" w:rsidRPr="004F337E" w:rsidRDefault="00543F3C" w:rsidP="00543F3C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543F3C" w:rsidRPr="004F337E" w:rsidRDefault="00543F3C" w:rsidP="00D54335">
      <w:pPr>
        <w:spacing w:after="0"/>
        <w:rPr>
          <w:rFonts w:eastAsia="Calibri" w:cs="Times New Roman"/>
          <w:szCs w:val="20"/>
        </w:rPr>
      </w:pPr>
      <w:r w:rsidRPr="00D54335">
        <w:rPr>
          <w:rFonts w:eastAsia="Times New Roman"/>
          <w:b/>
          <w:bCs/>
          <w:color w:val="E25046"/>
          <w:szCs w:val="20"/>
          <w:lang w:eastAsia="fr-FR"/>
        </w:rPr>
        <w:t xml:space="preserve">Pré-requis et informations importantes sur l’exécution du projet : </w:t>
      </w:r>
      <w:r w:rsidR="00D54335">
        <w:rPr>
          <w:rFonts w:eastAsia="Times New Roman"/>
          <w:b/>
          <w:bCs/>
          <w:color w:val="E25046"/>
          <w:szCs w:val="20"/>
          <w:lang w:eastAsia="fr-FR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543F3C" w:rsidRPr="004F337E" w:rsidRDefault="00543F3C" w:rsidP="00D54335">
      <w:pPr>
        <w:spacing w:after="0"/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553AE5">
          <w:footerReference w:type="default" r:id="rId8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90" w:rsidRDefault="00C97390" w:rsidP="00553AE5">
      <w:pPr>
        <w:spacing w:after="0" w:line="240" w:lineRule="auto"/>
      </w:pPr>
      <w:r>
        <w:separator/>
      </w:r>
    </w:p>
  </w:endnote>
  <w:endnote w:type="continuationSeparator" w:id="0">
    <w:p w:rsidR="00C97390" w:rsidRDefault="00C97390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553AE5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</w:r>
          <w:r w:rsidRPr="00553AE5">
            <w:rPr>
              <w:color w:val="A6A6A6" w:themeColor="background1" w:themeShade="A6"/>
              <w:szCs w:val="20"/>
            </w:rPr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553AE5" w:rsidRPr="00E50326" w:rsidRDefault="00553AE5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C97390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C97390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553AE5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90" w:rsidRDefault="00C97390" w:rsidP="00553AE5">
      <w:pPr>
        <w:spacing w:after="0" w:line="240" w:lineRule="auto"/>
      </w:pPr>
      <w:r>
        <w:separator/>
      </w:r>
    </w:p>
  </w:footnote>
  <w:footnote w:type="continuationSeparator" w:id="0">
    <w:p w:rsidR="00C97390" w:rsidRDefault="00C97390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F3C"/>
    <w:rsid w:val="00043C9E"/>
    <w:rsid w:val="000B0730"/>
    <w:rsid w:val="0017264B"/>
    <w:rsid w:val="002049B9"/>
    <w:rsid w:val="002D4FE2"/>
    <w:rsid w:val="00543F3C"/>
    <w:rsid w:val="00553AE5"/>
    <w:rsid w:val="005662A8"/>
    <w:rsid w:val="00656084"/>
    <w:rsid w:val="008451BF"/>
    <w:rsid w:val="009178ED"/>
    <w:rsid w:val="00954D25"/>
    <w:rsid w:val="00B46A95"/>
    <w:rsid w:val="00BA010A"/>
    <w:rsid w:val="00C97390"/>
    <w:rsid w:val="00D0059A"/>
    <w:rsid w:val="00D46577"/>
    <w:rsid w:val="00D54335"/>
    <w:rsid w:val="00F1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2016-04-07T09:57:00Z</dcterms:created>
  <dcterms:modified xsi:type="dcterms:W3CDTF">2016-04-07T15:48:00Z</dcterms:modified>
</cp:coreProperties>
</file>