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0E" w:rsidRPr="00C82F0E" w:rsidRDefault="005F7316" w:rsidP="00D5036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-340995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F0E" w:rsidRPr="00C82F0E" w:rsidRDefault="00C82F0E" w:rsidP="00C82F0E">
      <w:pPr>
        <w:rPr>
          <w:rFonts w:ascii="Verdana" w:hAnsi="Verdana"/>
          <w:sz w:val="22"/>
          <w:szCs w:val="22"/>
        </w:rPr>
      </w:pPr>
    </w:p>
    <w:p w:rsidR="00D5036D" w:rsidRPr="00D5036D" w:rsidRDefault="00D5036D" w:rsidP="00C82F0E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>Siège social : 57, Rue des Chênes – 3, Impasse Laurent – 42210 Craintilleux</w:t>
      </w:r>
    </w:p>
    <w:p w:rsidR="00D5036D" w:rsidRPr="00D5036D" w:rsidRDefault="00D5036D" w:rsidP="00D5036D">
      <w:pPr>
        <w:jc w:val="center"/>
        <w:rPr>
          <w:rFonts w:ascii="Verdana" w:hAnsi="Verdana"/>
        </w:rPr>
      </w:pPr>
      <w:r w:rsidRPr="00D5036D">
        <w:rPr>
          <w:rFonts w:ascii="Verdana" w:hAnsi="Verdana"/>
          <w:b/>
        </w:rPr>
        <w:t xml:space="preserve">RCS Saint-Etienne </w:t>
      </w:r>
    </w:p>
    <w:p w:rsidR="00414779" w:rsidRPr="00D5036D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414779">
      <w:pPr>
        <w:tabs>
          <w:tab w:val="left" w:pos="2016"/>
          <w:tab w:val="left" w:pos="10656"/>
        </w:tabs>
        <w:jc w:val="center"/>
        <w:rPr>
          <w:rFonts w:ascii="Verdana" w:hAnsi="Verdana"/>
          <w:b/>
          <w:sz w:val="28"/>
          <w:szCs w:val="28"/>
        </w:rPr>
      </w:pPr>
      <w:r w:rsidRPr="00D5036D">
        <w:rPr>
          <w:rFonts w:ascii="Verdana" w:hAnsi="Verdana"/>
          <w:b/>
          <w:sz w:val="28"/>
          <w:szCs w:val="28"/>
        </w:rPr>
        <w:t>R</w:t>
      </w:r>
      <w:r w:rsidR="00D5036D">
        <w:rPr>
          <w:rFonts w:ascii="Verdana" w:hAnsi="Verdana"/>
          <w:b/>
          <w:sz w:val="28"/>
          <w:szCs w:val="28"/>
        </w:rPr>
        <w:t>apport de Gestion sur les Opérations</w:t>
      </w:r>
    </w:p>
    <w:p w:rsidR="00414779" w:rsidRPr="00D5036D" w:rsidRDefault="00D5036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 l’exercice clos le</w:t>
      </w:r>
      <w:r w:rsidRPr="00D5036D">
        <w:rPr>
          <w:rFonts w:ascii="Verdana" w:hAnsi="Verdana"/>
          <w:b/>
          <w:sz w:val="28"/>
          <w:szCs w:val="28"/>
        </w:rPr>
        <w:t xml:space="preserve"> 31 mars 2013</w:t>
      </w:r>
    </w:p>
    <w:p w:rsidR="00414779" w:rsidRPr="00DA19A0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A19A0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A19A0" w:rsidRDefault="00414779" w:rsidP="00DA19A0">
      <w:pPr>
        <w:tabs>
          <w:tab w:val="left" w:pos="1134"/>
        </w:tabs>
        <w:rPr>
          <w:rFonts w:ascii="Verdana" w:hAnsi="Verdana"/>
        </w:rPr>
      </w:pPr>
    </w:p>
    <w:p w:rsidR="00414779" w:rsidRPr="00D5036D" w:rsidRDefault="005B75C3" w:rsidP="00D5036D">
      <w:pPr>
        <w:tabs>
          <w:tab w:val="left" w:pos="1134"/>
        </w:tabs>
        <w:rPr>
          <w:rFonts w:ascii="Verdana" w:hAnsi="Verdana"/>
        </w:rPr>
      </w:pPr>
      <w:r w:rsidRPr="00D5036D">
        <w:rPr>
          <w:rFonts w:ascii="Verdana" w:hAnsi="Verdana"/>
        </w:rPr>
        <w:t>Cher Associé</w:t>
      </w:r>
      <w:r w:rsidR="00856035" w:rsidRPr="00D5036D">
        <w:rPr>
          <w:rFonts w:ascii="Verdana" w:hAnsi="Verdana"/>
        </w:rPr>
        <w:t>,</w:t>
      </w:r>
    </w:p>
    <w:p w:rsidR="007B5A04" w:rsidRDefault="007B5A04" w:rsidP="00D5036D">
      <w:pPr>
        <w:tabs>
          <w:tab w:val="left" w:pos="1134"/>
        </w:tabs>
        <w:jc w:val="both"/>
        <w:rPr>
          <w:rFonts w:ascii="Verdana" w:hAnsi="Verdana"/>
        </w:rPr>
      </w:pPr>
    </w:p>
    <w:p w:rsidR="00414779" w:rsidRPr="00D5036D" w:rsidRDefault="00414779" w:rsidP="00D5036D">
      <w:pPr>
        <w:tabs>
          <w:tab w:val="left" w:pos="1134"/>
        </w:tabs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Nous vous avons réuni en Assemblée Générale Ordinaire Annuelle conformément aux dispositions de la loi et des statuts de </w:t>
      </w:r>
      <w:r w:rsidR="001D3F77" w:rsidRPr="001D3F77">
        <w:rPr>
          <w:rFonts w:ascii="Verdana" w:hAnsi="Verdana"/>
          <w:color w:val="000000"/>
        </w:rPr>
        <w:t>n</w:t>
      </w:r>
      <w:r w:rsidRPr="001D3F77">
        <w:rPr>
          <w:rFonts w:ascii="Verdana" w:hAnsi="Verdana"/>
          <w:color w:val="000000"/>
        </w:rPr>
        <w:t>otre</w:t>
      </w:r>
      <w:r w:rsidRPr="00D5036D">
        <w:rPr>
          <w:rFonts w:ascii="Verdana" w:hAnsi="Verdana"/>
        </w:rPr>
        <w:t xml:space="preserve"> Société à l'effet de vous demander d'approuver les comptes de l'exercice clos le</w:t>
      </w:r>
      <w:r w:rsidR="008B54D3" w:rsidRPr="00D5036D">
        <w:rPr>
          <w:rFonts w:ascii="Verdana" w:hAnsi="Verdana"/>
        </w:rPr>
        <w:t> </w:t>
      </w:r>
      <w:r w:rsidR="00D5036D">
        <w:rPr>
          <w:rFonts w:ascii="Verdana" w:hAnsi="Verdana"/>
        </w:rPr>
        <w:t>31 mars 2013.</w:t>
      </w:r>
      <w:r w:rsidR="00856035" w:rsidRPr="00D5036D">
        <w:rPr>
          <w:rFonts w:ascii="Verdana" w:hAnsi="Verdana"/>
        </w:rPr>
        <w:t xml:space="preserve"> </w:t>
      </w:r>
      <w:r w:rsidR="005B75C3" w:rsidRPr="00D5036D">
        <w:rPr>
          <w:rFonts w:ascii="Verdana" w:hAnsi="Verdana"/>
        </w:rPr>
        <w:t>Les convocations prescrites vous ont été régulièrement adressées ainsi que tous les documents et pièces prévus par l'article R. 223-18 du Code de Commerce. En outre, l'inventaire a été tenu à votre disposition au siège social dans le délai fixé par ledit article.</w:t>
      </w:r>
    </w:p>
    <w:p w:rsidR="00414779" w:rsidRPr="00DA19A0" w:rsidRDefault="00414779" w:rsidP="00DA19A0">
      <w:pPr>
        <w:jc w:val="both"/>
        <w:rPr>
          <w:rFonts w:ascii="Verdana" w:hAnsi="Verdana"/>
          <w:sz w:val="22"/>
        </w:rPr>
      </w:pPr>
    </w:p>
    <w:p w:rsidR="00414779" w:rsidRPr="00D5036D" w:rsidRDefault="00414779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M</w:t>
      </w:r>
      <w:r w:rsidR="00D5036D" w:rsidRPr="00D5036D">
        <w:rPr>
          <w:rFonts w:ascii="Verdana" w:hAnsi="Verdana"/>
          <w:b/>
          <w:sz w:val="22"/>
          <w:szCs w:val="22"/>
        </w:rPr>
        <w:t>arché des affaires</w:t>
      </w:r>
    </w:p>
    <w:p w:rsidR="00414779" w:rsidRPr="00D5036D" w:rsidRDefault="00414779" w:rsidP="00D5036D">
      <w:pPr>
        <w:tabs>
          <w:tab w:val="left" w:pos="1134"/>
        </w:tabs>
        <w:jc w:val="both"/>
        <w:rPr>
          <w:rFonts w:ascii="Verdana" w:hAnsi="Verdana"/>
        </w:rPr>
      </w:pPr>
      <w:r w:rsidRPr="00D5036D">
        <w:rPr>
          <w:rFonts w:ascii="Verdana" w:hAnsi="Verdana"/>
        </w:rPr>
        <w:t>Plutôt qu'un long discours, nous avons préféré reprendre dans le tableau synoptique suivant, les chiffres et les postes les plus significatifs d'un exercice à l'autre :</w:t>
      </w:r>
    </w:p>
    <w:p w:rsidR="00D5036D" w:rsidRDefault="00D5036D" w:rsidP="00DA19A0">
      <w:pPr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CellMar>
          <w:top w:w="85" w:type="dxa"/>
          <w:bottom w:w="85" w:type="dxa"/>
        </w:tblCellMar>
        <w:tblLook w:val="04A0"/>
      </w:tblPr>
      <w:tblGrid>
        <w:gridCol w:w="4503"/>
        <w:gridCol w:w="3260"/>
        <w:gridCol w:w="2835"/>
      </w:tblGrid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center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Chiffres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center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Exercice clos</w:t>
            </w:r>
            <w:r w:rsidRPr="008C38D5">
              <w:rPr>
                <w:rFonts w:ascii="Verdana" w:hAnsi="Verdana"/>
                <w:b/>
              </w:rPr>
              <w:br/>
              <w:t>le 31 mars 2013</w:t>
            </w:r>
          </w:p>
        </w:tc>
        <w:tc>
          <w:tcPr>
            <w:tcW w:w="2835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center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 xml:space="preserve">En % et </w:t>
            </w:r>
            <w:r w:rsidRPr="008C38D5">
              <w:rPr>
                <w:rFonts w:ascii="Verdana" w:hAnsi="Verdana"/>
                <w:b/>
              </w:rPr>
              <w:br/>
              <w:t>poste du C.A.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C.A. Net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17 323 €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100 %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Marge Brute de Production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17 323 €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100 %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Total des Charges d’Exploitation</w:t>
            </w:r>
          </w:p>
        </w:tc>
        <w:tc>
          <w:tcPr>
            <w:tcW w:w="3260" w:type="dxa"/>
          </w:tcPr>
          <w:p w:rsidR="00145A31" w:rsidRPr="008C38D5" w:rsidRDefault="001D3F77" w:rsidP="004E2CA3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  <w:highlight w:val="yellow"/>
              </w:rPr>
            </w:pPr>
            <w:r w:rsidRPr="00F3725A">
              <w:rPr>
                <w:rFonts w:ascii="Verdana" w:hAnsi="Verdana"/>
              </w:rPr>
              <w:t>9 02</w:t>
            </w:r>
            <w:r w:rsidR="004E2CA3" w:rsidRPr="00F3725A">
              <w:rPr>
                <w:rFonts w:ascii="Verdana" w:hAnsi="Verdana"/>
              </w:rPr>
              <w:t>6</w:t>
            </w:r>
            <w:r w:rsidRPr="00F3725A">
              <w:rPr>
                <w:rFonts w:ascii="Verdana" w:hAnsi="Verdana"/>
              </w:rPr>
              <w:t xml:space="preserve"> </w:t>
            </w:r>
            <w:r w:rsidR="00145A31" w:rsidRPr="00F3725A">
              <w:rPr>
                <w:rFonts w:ascii="Verdana" w:hAnsi="Verdana"/>
              </w:rPr>
              <w:t>€</w:t>
            </w:r>
          </w:p>
        </w:tc>
        <w:tc>
          <w:tcPr>
            <w:tcW w:w="2835" w:type="dxa"/>
          </w:tcPr>
          <w:p w:rsidR="00145A31" w:rsidRPr="008C38D5" w:rsidRDefault="00F3725A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52.10 </w:t>
            </w:r>
            <w:r w:rsidR="00DA19A0" w:rsidRPr="008C38D5">
              <w:rPr>
                <w:rFonts w:ascii="Verdana" w:hAnsi="Verdana"/>
              </w:rPr>
              <w:t>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d’Exploitation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8 299 €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47.91 %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Courant avant Impôt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8 360 €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48.26 %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Exceptionnel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0 €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%</w:t>
            </w:r>
          </w:p>
        </w:tc>
      </w:tr>
      <w:tr w:rsidR="00145A31" w:rsidRPr="008C38D5" w:rsidTr="008C38D5">
        <w:tc>
          <w:tcPr>
            <w:tcW w:w="4503" w:type="dxa"/>
          </w:tcPr>
          <w:p w:rsidR="00145A31" w:rsidRPr="008C38D5" w:rsidRDefault="00145A31" w:rsidP="008C38D5">
            <w:pPr>
              <w:tabs>
                <w:tab w:val="left" w:pos="1134"/>
              </w:tabs>
              <w:jc w:val="both"/>
              <w:rPr>
                <w:rFonts w:ascii="Verdana" w:hAnsi="Verdana"/>
                <w:b/>
              </w:rPr>
            </w:pPr>
            <w:r w:rsidRPr="008C38D5">
              <w:rPr>
                <w:rFonts w:ascii="Verdana" w:hAnsi="Verdana"/>
                <w:b/>
              </w:rPr>
              <w:t>Résultat Net Comptable</w:t>
            </w:r>
          </w:p>
        </w:tc>
        <w:tc>
          <w:tcPr>
            <w:tcW w:w="3260" w:type="dxa"/>
          </w:tcPr>
          <w:p w:rsidR="00145A31" w:rsidRPr="008C38D5" w:rsidRDefault="00145A31" w:rsidP="008C38D5">
            <w:pPr>
              <w:tabs>
                <w:tab w:val="left" w:pos="1134"/>
              </w:tabs>
              <w:ind w:right="1026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7 107 €</w:t>
            </w:r>
          </w:p>
        </w:tc>
        <w:tc>
          <w:tcPr>
            <w:tcW w:w="2835" w:type="dxa"/>
          </w:tcPr>
          <w:p w:rsidR="00145A31" w:rsidRPr="008C38D5" w:rsidRDefault="00DA19A0" w:rsidP="008C38D5">
            <w:pPr>
              <w:tabs>
                <w:tab w:val="left" w:pos="1134"/>
              </w:tabs>
              <w:ind w:right="743"/>
              <w:jc w:val="right"/>
              <w:rPr>
                <w:rFonts w:ascii="Verdana" w:hAnsi="Verdana"/>
              </w:rPr>
            </w:pPr>
            <w:r w:rsidRPr="008C38D5">
              <w:rPr>
                <w:rFonts w:ascii="Verdana" w:hAnsi="Verdana"/>
              </w:rPr>
              <w:t>41.03 %</w:t>
            </w:r>
          </w:p>
        </w:tc>
      </w:tr>
    </w:tbl>
    <w:p w:rsidR="00414779" w:rsidRPr="00D5036D" w:rsidRDefault="00414779" w:rsidP="00145A31">
      <w:pPr>
        <w:tabs>
          <w:tab w:val="decimal" w:pos="9214"/>
        </w:tabs>
        <w:jc w:val="both"/>
        <w:rPr>
          <w:rFonts w:ascii="Verdana" w:hAnsi="Verdana"/>
          <w:sz w:val="22"/>
        </w:rPr>
      </w:pPr>
    </w:p>
    <w:p w:rsidR="00414779" w:rsidRPr="00D5036D" w:rsidRDefault="002A5001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É</w:t>
      </w:r>
      <w:r w:rsidR="00D5036D">
        <w:rPr>
          <w:rFonts w:ascii="Verdana" w:hAnsi="Verdana"/>
          <w:b/>
          <w:sz w:val="22"/>
          <w:szCs w:val="22"/>
        </w:rPr>
        <w:t>volution prévisible</w:t>
      </w:r>
    </w:p>
    <w:p w:rsidR="00414779" w:rsidRPr="00DA19A0" w:rsidRDefault="001D3F77">
      <w:pPr>
        <w:jc w:val="both"/>
        <w:rPr>
          <w:rFonts w:ascii="Verdana" w:hAnsi="Verdana"/>
        </w:rPr>
      </w:pPr>
      <w:r>
        <w:rPr>
          <w:rFonts w:ascii="Verdana" w:hAnsi="Verdana"/>
        </w:rPr>
        <w:t>Au vu des chiffres actuels, on peut envisager une augmentation du Chiffre d’Affaire</w:t>
      </w:r>
    </w:p>
    <w:p w:rsidR="009D50C2" w:rsidRPr="00DA19A0" w:rsidRDefault="009D50C2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Activité de la société en matière de recherche et de développement</w:t>
      </w:r>
    </w:p>
    <w:p w:rsidR="00FC06EC" w:rsidRPr="00D5036D" w:rsidRDefault="00D5036D" w:rsidP="00FC06EC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FC06EC" w:rsidRPr="00D5036D">
        <w:rPr>
          <w:rFonts w:ascii="Verdana" w:hAnsi="Verdana"/>
        </w:rPr>
        <w:t>éant</w:t>
      </w:r>
    </w:p>
    <w:p w:rsidR="00414779" w:rsidRPr="00DA19A0" w:rsidRDefault="00414779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Prise de participation</w:t>
      </w:r>
    </w:p>
    <w:p w:rsidR="00D5036D" w:rsidRPr="00D5036D" w:rsidRDefault="00D5036D" w:rsidP="00D5036D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D5036D">
        <w:rPr>
          <w:rFonts w:ascii="Verdana" w:hAnsi="Verdana"/>
        </w:rPr>
        <w:t>éant</w:t>
      </w:r>
    </w:p>
    <w:p w:rsidR="00414779" w:rsidRPr="00DA19A0" w:rsidRDefault="00414779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Acquisition de plus de la moitié du capital d'une autre société</w:t>
      </w:r>
    </w:p>
    <w:p w:rsidR="00D5036D" w:rsidRPr="00D5036D" w:rsidRDefault="00D5036D" w:rsidP="00D5036D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D5036D">
        <w:rPr>
          <w:rFonts w:ascii="Verdana" w:hAnsi="Verdana"/>
        </w:rPr>
        <w:t>éant</w:t>
      </w:r>
    </w:p>
    <w:p w:rsidR="00414779" w:rsidRPr="00DA19A0" w:rsidRDefault="00414779">
      <w:pPr>
        <w:jc w:val="both"/>
        <w:rPr>
          <w:rFonts w:ascii="Verdana" w:hAnsi="Verdana"/>
        </w:rPr>
      </w:pPr>
    </w:p>
    <w:p w:rsidR="00414779" w:rsidRPr="00D5036D" w:rsidRDefault="00D5036D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D5036D">
        <w:rPr>
          <w:rFonts w:ascii="Verdana" w:hAnsi="Verdana"/>
          <w:b/>
          <w:sz w:val="22"/>
          <w:szCs w:val="22"/>
        </w:rPr>
        <w:t>Activités des filiales</w:t>
      </w:r>
    </w:p>
    <w:p w:rsidR="00D5036D" w:rsidRPr="00D5036D" w:rsidRDefault="00D5036D" w:rsidP="00D5036D">
      <w:pPr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D5036D">
        <w:rPr>
          <w:rFonts w:ascii="Verdana" w:hAnsi="Verdana"/>
        </w:rPr>
        <w:t>éant</w:t>
      </w:r>
    </w:p>
    <w:p w:rsidR="00FC06EC" w:rsidRPr="00AD3F5B" w:rsidRDefault="00FC06EC">
      <w:pPr>
        <w:jc w:val="both"/>
        <w:rPr>
          <w:rFonts w:ascii="Verdana" w:hAnsi="Verdana"/>
        </w:rPr>
      </w:pPr>
    </w:p>
    <w:p w:rsidR="00414779" w:rsidRPr="00D5036D" w:rsidRDefault="00DA19A0" w:rsidP="00D5036D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="00D5036D" w:rsidRPr="00D5036D">
        <w:rPr>
          <w:rFonts w:ascii="Verdana" w:hAnsi="Verdana"/>
          <w:b/>
          <w:sz w:val="22"/>
          <w:szCs w:val="22"/>
        </w:rPr>
        <w:lastRenderedPageBreak/>
        <w:t>Proposition d'affectation du résultat</w:t>
      </w:r>
    </w:p>
    <w:p w:rsidR="005B75C3" w:rsidRPr="00D5036D" w:rsidRDefault="00414779" w:rsidP="005B75C3">
      <w:pPr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Ainsi que vous le constatez, déduction faite de toutes charges et de tous amortissements, les comptes font apparaître </w:t>
      </w:r>
      <w:r w:rsidR="003E7327" w:rsidRPr="00D5036D">
        <w:rPr>
          <w:rFonts w:ascii="Verdana" w:hAnsi="Verdana"/>
        </w:rPr>
        <w:t xml:space="preserve">un bénéfice de </w:t>
      </w:r>
      <w:r w:rsidR="00AD3F5B">
        <w:rPr>
          <w:rFonts w:ascii="Verdana" w:hAnsi="Verdana"/>
        </w:rPr>
        <w:t>7 107</w:t>
      </w:r>
      <w:r w:rsidR="005C3B9C" w:rsidRPr="00D5036D">
        <w:rPr>
          <w:rFonts w:ascii="Verdana" w:hAnsi="Verdana"/>
        </w:rPr>
        <w:t xml:space="preserve"> €</w:t>
      </w:r>
      <w:r w:rsidR="005B75C3" w:rsidRPr="00D5036D">
        <w:rPr>
          <w:rFonts w:ascii="Verdana" w:hAnsi="Verdana"/>
        </w:rPr>
        <w:t xml:space="preserve"> que nous vous proposons d'affecter de la manière suivante :</w:t>
      </w:r>
    </w:p>
    <w:p w:rsidR="005C3B9C" w:rsidRPr="00D5036D" w:rsidRDefault="005C3B9C" w:rsidP="007B5A04">
      <w:pPr>
        <w:numPr>
          <w:ilvl w:val="0"/>
          <w:numId w:val="5"/>
        </w:numPr>
        <w:ind w:left="1134"/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à la réserve légale pour la porter à 10 % du capital social, soit </w:t>
      </w:r>
      <w:r w:rsidRPr="00D5036D">
        <w:rPr>
          <w:rFonts w:ascii="Verdana" w:hAnsi="Verdana"/>
        </w:rPr>
        <w:tab/>
      </w:r>
      <w:r w:rsidR="001D3F77">
        <w:rPr>
          <w:rFonts w:ascii="Verdana" w:hAnsi="Verdana"/>
        </w:rPr>
        <w:t>600</w:t>
      </w:r>
      <w:r w:rsidRPr="00D5036D">
        <w:rPr>
          <w:rFonts w:ascii="Verdana" w:hAnsi="Verdana"/>
        </w:rPr>
        <w:t xml:space="preserve"> €.</w:t>
      </w:r>
    </w:p>
    <w:p w:rsidR="005C3B9C" w:rsidRPr="00D5036D" w:rsidRDefault="005C3B9C" w:rsidP="007B5A04">
      <w:pPr>
        <w:numPr>
          <w:ilvl w:val="0"/>
          <w:numId w:val="5"/>
        </w:numPr>
        <w:ind w:left="1134"/>
        <w:jc w:val="both"/>
        <w:rPr>
          <w:rFonts w:ascii="Verdana" w:hAnsi="Verdana"/>
        </w:rPr>
      </w:pPr>
      <w:r w:rsidRPr="00D5036D">
        <w:rPr>
          <w:rFonts w:ascii="Verdana" w:hAnsi="Verdana"/>
        </w:rPr>
        <w:t xml:space="preserve">Le solde au compte "Autres Réserves" : </w:t>
      </w:r>
      <w:r w:rsidRPr="00D5036D">
        <w:rPr>
          <w:rFonts w:ascii="Verdana" w:hAnsi="Verdana"/>
        </w:rPr>
        <w:tab/>
      </w:r>
      <w:r w:rsidR="001D3F77">
        <w:rPr>
          <w:rFonts w:ascii="Verdana" w:hAnsi="Verdana"/>
        </w:rPr>
        <w:t>6 507</w:t>
      </w:r>
      <w:r w:rsidRPr="00D5036D">
        <w:rPr>
          <w:rFonts w:ascii="Verdana" w:hAnsi="Verdana"/>
        </w:rPr>
        <w:t xml:space="preserve"> €.</w:t>
      </w:r>
    </w:p>
    <w:p w:rsidR="00414779" w:rsidRPr="00AD3F5B" w:rsidRDefault="00414779">
      <w:pPr>
        <w:jc w:val="both"/>
        <w:rPr>
          <w:rFonts w:ascii="Verdana" w:hAnsi="Verdana"/>
        </w:rPr>
      </w:pPr>
    </w:p>
    <w:p w:rsidR="00414779" w:rsidRPr="00AD3F5B" w:rsidRDefault="00D5036D" w:rsidP="00AD3F5B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AD3F5B">
        <w:rPr>
          <w:rFonts w:ascii="Verdana" w:hAnsi="Verdana"/>
          <w:b/>
          <w:sz w:val="22"/>
          <w:szCs w:val="22"/>
        </w:rPr>
        <w:t>Rappel des dividendes distribués</w:t>
      </w:r>
    </w:p>
    <w:p w:rsidR="00414779" w:rsidRPr="00AD3F5B" w:rsidRDefault="00414779">
      <w:pPr>
        <w:tabs>
          <w:tab w:val="left" w:pos="2016"/>
          <w:tab w:val="left" w:pos="5328"/>
          <w:tab w:val="left" w:pos="10656"/>
        </w:tabs>
        <w:jc w:val="both"/>
        <w:rPr>
          <w:rFonts w:ascii="Verdana" w:hAnsi="Verdana"/>
        </w:rPr>
      </w:pPr>
      <w:r w:rsidRPr="00AD3F5B">
        <w:rPr>
          <w:rFonts w:ascii="Verdana" w:hAnsi="Verdana"/>
        </w:rPr>
        <w:t xml:space="preserve">Pour répondre aux dispositions de l'article 223 bis du C.G.I., nous vous informons </w:t>
      </w:r>
      <w:r w:rsidR="005B75C3" w:rsidRPr="00AD3F5B">
        <w:rPr>
          <w:rFonts w:ascii="Verdana" w:hAnsi="Verdana"/>
        </w:rPr>
        <w:t>de l'absence de distributions de dividendes depuis la constitution de la société.</w:t>
      </w:r>
    </w:p>
    <w:p w:rsidR="00414779" w:rsidRPr="00AD3F5B" w:rsidRDefault="00414779">
      <w:pPr>
        <w:jc w:val="both"/>
        <w:rPr>
          <w:rFonts w:ascii="Verdana" w:hAnsi="Verdana"/>
        </w:rPr>
      </w:pPr>
    </w:p>
    <w:p w:rsidR="00414779" w:rsidRPr="00AD3F5B" w:rsidRDefault="00D5036D" w:rsidP="00AD3F5B">
      <w:pPr>
        <w:tabs>
          <w:tab w:val="left" w:pos="1134"/>
        </w:tabs>
        <w:jc w:val="both"/>
        <w:rPr>
          <w:rFonts w:ascii="Verdana" w:hAnsi="Verdana"/>
          <w:b/>
          <w:sz w:val="22"/>
          <w:szCs w:val="22"/>
        </w:rPr>
      </w:pPr>
      <w:r w:rsidRPr="00AD3F5B">
        <w:rPr>
          <w:rFonts w:ascii="Verdana" w:hAnsi="Verdana"/>
          <w:b/>
          <w:sz w:val="22"/>
          <w:szCs w:val="22"/>
        </w:rPr>
        <w:t>Conclusion - quitus a la gérance</w:t>
      </w:r>
    </w:p>
    <w:p w:rsidR="00414779" w:rsidRPr="00AD3F5B" w:rsidRDefault="00414779">
      <w:pPr>
        <w:jc w:val="both"/>
        <w:rPr>
          <w:rFonts w:ascii="Verdana" w:hAnsi="Verdana"/>
        </w:rPr>
      </w:pPr>
      <w:r w:rsidRPr="00AD3F5B">
        <w:rPr>
          <w:rFonts w:ascii="Verdana" w:hAnsi="Verdana"/>
        </w:rPr>
        <w:t>Nous espérons que les résolutions proposées auront votre agrément et que vous voudrez bien donner quitus à la gérance de la gestion.</w:t>
      </w:r>
    </w:p>
    <w:p w:rsidR="00762CF6" w:rsidRPr="00AD3F5B" w:rsidRDefault="00762CF6">
      <w:pPr>
        <w:jc w:val="both"/>
        <w:rPr>
          <w:rFonts w:ascii="Verdana" w:hAnsi="Verdana"/>
        </w:rPr>
      </w:pPr>
    </w:p>
    <w:p w:rsidR="00414779" w:rsidRPr="00AD3F5B" w:rsidRDefault="00414779">
      <w:pPr>
        <w:jc w:val="both"/>
        <w:rPr>
          <w:rFonts w:ascii="Verdana" w:hAnsi="Verdana"/>
        </w:rPr>
      </w:pPr>
    </w:p>
    <w:p w:rsidR="00414779" w:rsidRPr="00AD3F5B" w:rsidRDefault="00AD3F5B" w:rsidP="00AD3F5B">
      <w:pPr>
        <w:tabs>
          <w:tab w:val="left" w:pos="1134"/>
          <w:tab w:val="left" w:pos="5103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414779" w:rsidRPr="00AD3F5B">
        <w:rPr>
          <w:rFonts w:ascii="Verdana" w:hAnsi="Verdana"/>
          <w:b/>
          <w:sz w:val="22"/>
          <w:szCs w:val="22"/>
        </w:rPr>
        <w:t>L</w:t>
      </w:r>
      <w:r>
        <w:rPr>
          <w:rFonts w:ascii="Verdana" w:hAnsi="Verdana"/>
          <w:b/>
          <w:sz w:val="22"/>
          <w:szCs w:val="22"/>
        </w:rPr>
        <w:t>a gérance</w:t>
      </w:r>
    </w:p>
    <w:p w:rsidR="00414779" w:rsidRPr="00AD3F5B" w:rsidRDefault="00AD3F5B" w:rsidP="00AD3F5B">
      <w:pPr>
        <w:tabs>
          <w:tab w:val="left" w:pos="510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Pr="00AD3F5B">
        <w:rPr>
          <w:rFonts w:ascii="Verdana" w:hAnsi="Verdana"/>
          <w:b/>
        </w:rPr>
        <w:t>Habiba AOUZAL</w:t>
      </w:r>
    </w:p>
    <w:p w:rsidR="00414779" w:rsidRPr="00D5036D" w:rsidRDefault="00414779">
      <w:pPr>
        <w:jc w:val="both"/>
        <w:rPr>
          <w:rFonts w:ascii="Verdana" w:hAnsi="Verdana"/>
          <w:sz w:val="22"/>
        </w:rPr>
      </w:pPr>
    </w:p>
    <w:sectPr w:rsidR="00414779" w:rsidRPr="00D5036D" w:rsidSect="00DA1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0F" w:rsidRDefault="00E2050F">
      <w:r>
        <w:separator/>
      </w:r>
    </w:p>
  </w:endnote>
  <w:endnote w:type="continuationSeparator" w:id="0">
    <w:p w:rsidR="00E2050F" w:rsidRDefault="00E2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35" w:rsidRDefault="00856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855F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856035" w:rsidRDefault="0085603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AE" w:rsidRPr="004447FD" w:rsidRDefault="005832AE">
    <w:pPr>
      <w:pStyle w:val="Pieddepage"/>
      <w:jc w:val="right"/>
      <w:rPr>
        <w:rFonts w:ascii="Verdana" w:hAnsi="Verdana"/>
        <w:sz w:val="18"/>
        <w:szCs w:val="18"/>
      </w:rPr>
    </w:pPr>
    <w:r w:rsidRPr="004447FD">
      <w:rPr>
        <w:rFonts w:ascii="Verdana" w:hAnsi="Verdana"/>
        <w:sz w:val="18"/>
        <w:szCs w:val="18"/>
      </w:rPr>
      <w:t xml:space="preserve">Page </w:t>
    </w:r>
    <w:r w:rsidRPr="004447FD">
      <w:rPr>
        <w:rFonts w:ascii="Verdana" w:hAnsi="Verdana"/>
        <w:b/>
        <w:sz w:val="18"/>
        <w:szCs w:val="18"/>
      </w:rPr>
      <w:fldChar w:fldCharType="begin"/>
    </w:r>
    <w:r w:rsidR="001855F5" w:rsidRPr="004447FD">
      <w:rPr>
        <w:rFonts w:ascii="Verdana" w:hAnsi="Verdana"/>
        <w:b/>
        <w:sz w:val="18"/>
        <w:szCs w:val="18"/>
      </w:rPr>
      <w:instrText>PAGE</w:instrText>
    </w:r>
    <w:r w:rsidRPr="004447FD">
      <w:rPr>
        <w:rFonts w:ascii="Verdana" w:hAnsi="Verdana"/>
        <w:b/>
        <w:sz w:val="18"/>
        <w:szCs w:val="18"/>
      </w:rPr>
      <w:fldChar w:fldCharType="separate"/>
    </w:r>
    <w:r w:rsidR="00E2050F">
      <w:rPr>
        <w:rFonts w:ascii="Verdana" w:hAnsi="Verdana"/>
        <w:b/>
        <w:noProof/>
        <w:sz w:val="18"/>
        <w:szCs w:val="18"/>
      </w:rPr>
      <w:t>1</w:t>
    </w:r>
    <w:r w:rsidRPr="004447FD">
      <w:rPr>
        <w:rFonts w:ascii="Verdana" w:hAnsi="Verdana"/>
        <w:b/>
        <w:sz w:val="18"/>
        <w:szCs w:val="18"/>
      </w:rPr>
      <w:fldChar w:fldCharType="end"/>
    </w:r>
    <w:r w:rsidRPr="004447FD">
      <w:rPr>
        <w:rFonts w:ascii="Verdana" w:hAnsi="Verdana"/>
        <w:sz w:val="18"/>
        <w:szCs w:val="18"/>
      </w:rPr>
      <w:t xml:space="preserve"> sur </w:t>
    </w:r>
    <w:r w:rsidRPr="004447FD">
      <w:rPr>
        <w:rFonts w:ascii="Verdana" w:hAnsi="Verdana"/>
        <w:b/>
        <w:sz w:val="18"/>
        <w:szCs w:val="18"/>
      </w:rPr>
      <w:fldChar w:fldCharType="begin"/>
    </w:r>
    <w:r w:rsidR="001855F5" w:rsidRPr="004447FD">
      <w:rPr>
        <w:rFonts w:ascii="Verdana" w:hAnsi="Verdana"/>
        <w:b/>
        <w:sz w:val="18"/>
        <w:szCs w:val="18"/>
      </w:rPr>
      <w:instrText>NUMPAGES</w:instrText>
    </w:r>
    <w:r w:rsidRPr="004447FD">
      <w:rPr>
        <w:rFonts w:ascii="Verdana" w:hAnsi="Verdana"/>
        <w:b/>
        <w:sz w:val="18"/>
        <w:szCs w:val="18"/>
      </w:rPr>
      <w:fldChar w:fldCharType="separate"/>
    </w:r>
    <w:r w:rsidR="00E2050F">
      <w:rPr>
        <w:rFonts w:ascii="Verdana" w:hAnsi="Verdana"/>
        <w:b/>
        <w:noProof/>
        <w:sz w:val="18"/>
        <w:szCs w:val="18"/>
      </w:rPr>
      <w:t>1</w:t>
    </w:r>
    <w:r w:rsidRPr="004447FD">
      <w:rPr>
        <w:rFonts w:ascii="Verdana" w:hAnsi="Verdana"/>
        <w:b/>
        <w:sz w:val="18"/>
        <w:szCs w:val="18"/>
      </w:rPr>
      <w:fldChar w:fldCharType="end"/>
    </w:r>
  </w:p>
  <w:p w:rsidR="00856035" w:rsidRPr="004447FD" w:rsidRDefault="005832AE" w:rsidP="005832AE">
    <w:pPr>
      <w:pStyle w:val="Pieddepage"/>
      <w:ind w:right="360"/>
      <w:rPr>
        <w:rFonts w:ascii="Verdana" w:hAnsi="Verdana"/>
        <w:sz w:val="18"/>
        <w:szCs w:val="18"/>
      </w:rPr>
    </w:pPr>
    <w:r w:rsidRPr="004447FD">
      <w:rPr>
        <w:rFonts w:ascii="Verdana" w:hAnsi="Verdana"/>
        <w:sz w:val="18"/>
        <w:szCs w:val="18"/>
      </w:rPr>
      <w:t>Rapport de Gestion Assemblée Générale Ordinair</w:t>
    </w:r>
    <w:r w:rsidR="00A169E5" w:rsidRPr="004447FD">
      <w:rPr>
        <w:rFonts w:ascii="Verdana" w:hAnsi="Verdana"/>
        <w:sz w:val="18"/>
        <w:szCs w:val="18"/>
      </w:rPr>
      <w:t>e</w:t>
    </w:r>
    <w:r w:rsidR="00681214">
      <w:rPr>
        <w:rFonts w:ascii="Verdana" w:hAnsi="Verdana"/>
        <w:sz w:val="18"/>
        <w:szCs w:val="18"/>
      </w:rPr>
      <w:t xml:space="preserve"> ALLIZEO WEB </w:t>
    </w:r>
    <w:r w:rsidR="003E7327" w:rsidRPr="004447FD">
      <w:rPr>
        <w:rFonts w:ascii="Verdana" w:hAnsi="Verdana"/>
        <w:sz w:val="18"/>
        <w:szCs w:val="18"/>
      </w:rPr>
      <w:t xml:space="preserve">– Exercice </w:t>
    </w:r>
    <w:r w:rsidR="00681214">
      <w:rPr>
        <w:rFonts w:ascii="Verdana" w:hAnsi="Verdana"/>
        <w:sz w:val="18"/>
        <w:szCs w:val="18"/>
      </w:rPr>
      <w:t>clos 31/03/</w:t>
    </w:r>
    <w:r w:rsidR="00FC06EC" w:rsidRPr="004447FD">
      <w:rPr>
        <w:rFonts w:ascii="Verdana" w:hAnsi="Verdana"/>
        <w:sz w:val="18"/>
        <w:szCs w:val="18"/>
      </w:rPr>
      <w:t>20</w:t>
    </w:r>
    <w:r w:rsidR="004447FD" w:rsidRPr="004447FD">
      <w:rPr>
        <w:rFonts w:ascii="Verdana" w:hAnsi="Verdana"/>
        <w:sz w:val="18"/>
        <w:szCs w:val="18"/>
      </w:rP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14" w:rsidRDefault="006812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0F" w:rsidRDefault="00E2050F">
      <w:r>
        <w:separator/>
      </w:r>
    </w:p>
  </w:footnote>
  <w:footnote w:type="continuationSeparator" w:id="0">
    <w:p w:rsidR="00E2050F" w:rsidRDefault="00E20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14" w:rsidRDefault="006812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14" w:rsidRDefault="006812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14" w:rsidRDefault="006812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D8D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3508A"/>
    <w:multiLevelType w:val="hybridMultilevel"/>
    <w:tmpl w:val="F7C6F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37D3"/>
    <w:multiLevelType w:val="hybridMultilevel"/>
    <w:tmpl w:val="B53EAC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E4A44"/>
    <w:multiLevelType w:val="singleLevel"/>
    <w:tmpl w:val="1CA2FD24"/>
    <w:lvl w:ilvl="0">
      <w:start w:val="1"/>
      <w:numFmt w:val="none"/>
      <w:pStyle w:val="Titre4"/>
      <w:lvlText w:val=""/>
      <w:lvlJc w:val="left"/>
      <w:pPr>
        <w:tabs>
          <w:tab w:val="num" w:pos="720"/>
        </w:tabs>
      </w:pPr>
      <w:rPr>
        <w:rFonts w:ascii="Arial Black" w:hAnsi="Arial Black" w:cs="Times New Roman" w:hint="default"/>
        <w:sz w:val="22"/>
        <w:szCs w:val="22"/>
      </w:rPr>
    </w:lvl>
  </w:abstractNum>
  <w:abstractNum w:abstractNumId="4">
    <w:nsid w:val="7D015B83"/>
    <w:multiLevelType w:val="singleLevel"/>
    <w:tmpl w:val="FEFE256A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2A5001"/>
    <w:rsid w:val="000F5E49"/>
    <w:rsid w:val="00145A31"/>
    <w:rsid w:val="001855F5"/>
    <w:rsid w:val="001A66F7"/>
    <w:rsid w:val="001D3F77"/>
    <w:rsid w:val="00207759"/>
    <w:rsid w:val="002217DB"/>
    <w:rsid w:val="00251414"/>
    <w:rsid w:val="002A5001"/>
    <w:rsid w:val="00343ABB"/>
    <w:rsid w:val="003843F4"/>
    <w:rsid w:val="003C1803"/>
    <w:rsid w:val="003E7327"/>
    <w:rsid w:val="00414779"/>
    <w:rsid w:val="00430860"/>
    <w:rsid w:val="004432B5"/>
    <w:rsid w:val="004447FD"/>
    <w:rsid w:val="004C4475"/>
    <w:rsid w:val="004E2CA3"/>
    <w:rsid w:val="005832AE"/>
    <w:rsid w:val="005B75C3"/>
    <w:rsid w:val="005C3B9C"/>
    <w:rsid w:val="005F620F"/>
    <w:rsid w:val="005F7316"/>
    <w:rsid w:val="0062438D"/>
    <w:rsid w:val="00681214"/>
    <w:rsid w:val="00687A19"/>
    <w:rsid w:val="006955B9"/>
    <w:rsid w:val="006C60CF"/>
    <w:rsid w:val="00762CF6"/>
    <w:rsid w:val="007B5A04"/>
    <w:rsid w:val="00801239"/>
    <w:rsid w:val="00806DC7"/>
    <w:rsid w:val="00856035"/>
    <w:rsid w:val="008740F7"/>
    <w:rsid w:val="00874F9B"/>
    <w:rsid w:val="008B54D3"/>
    <w:rsid w:val="008C38D5"/>
    <w:rsid w:val="009134B0"/>
    <w:rsid w:val="009240EA"/>
    <w:rsid w:val="00931E06"/>
    <w:rsid w:val="009C4DAB"/>
    <w:rsid w:val="009D50C2"/>
    <w:rsid w:val="00A169E5"/>
    <w:rsid w:val="00A67FC6"/>
    <w:rsid w:val="00AA6DEE"/>
    <w:rsid w:val="00AD3F5B"/>
    <w:rsid w:val="00B113AE"/>
    <w:rsid w:val="00B14138"/>
    <w:rsid w:val="00B314E4"/>
    <w:rsid w:val="00B54601"/>
    <w:rsid w:val="00B821AC"/>
    <w:rsid w:val="00BB4067"/>
    <w:rsid w:val="00BB4C54"/>
    <w:rsid w:val="00BD2260"/>
    <w:rsid w:val="00C41598"/>
    <w:rsid w:val="00C42059"/>
    <w:rsid w:val="00C461B9"/>
    <w:rsid w:val="00C467A8"/>
    <w:rsid w:val="00C73A86"/>
    <w:rsid w:val="00C82F0E"/>
    <w:rsid w:val="00C96ADF"/>
    <w:rsid w:val="00CA0BF8"/>
    <w:rsid w:val="00CC0E9F"/>
    <w:rsid w:val="00CE2297"/>
    <w:rsid w:val="00D5036D"/>
    <w:rsid w:val="00D97FCD"/>
    <w:rsid w:val="00DA19A0"/>
    <w:rsid w:val="00E2050F"/>
    <w:rsid w:val="00E9325A"/>
    <w:rsid w:val="00E959E7"/>
    <w:rsid w:val="00EA4F7F"/>
    <w:rsid w:val="00F03870"/>
    <w:rsid w:val="00F2573A"/>
    <w:rsid w:val="00F3725A"/>
    <w:rsid w:val="00F7616F"/>
    <w:rsid w:val="00FA4BEA"/>
    <w:rsid w:val="00FB0E5A"/>
    <w:rsid w:val="00FC06EC"/>
    <w:rsid w:val="00FE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Corpsdetexte"/>
    <w:qFormat/>
    <w:pPr>
      <w:keepNext/>
      <w:spacing w:after="120"/>
      <w:ind w:left="1134"/>
      <w:jc w:val="center"/>
      <w:outlineLvl w:val="0"/>
    </w:pPr>
    <w:rPr>
      <w:rFonts w:ascii="Garamond" w:hAnsi="Garamond"/>
      <w:w w:val="65"/>
      <w:sz w:val="48"/>
      <w:szCs w:val="48"/>
    </w:rPr>
  </w:style>
  <w:style w:type="paragraph" w:styleId="Titre2">
    <w:name w:val="heading 2"/>
    <w:basedOn w:val="Normal"/>
    <w:next w:val="Corpsdetexte"/>
    <w:qFormat/>
    <w:pPr>
      <w:keepNext/>
      <w:spacing w:after="120"/>
      <w:ind w:left="1134"/>
      <w:outlineLvl w:val="1"/>
    </w:pPr>
    <w:rPr>
      <w:rFonts w:ascii="Garamond" w:hAnsi="Garamond"/>
      <w:w w:val="65"/>
      <w:sz w:val="42"/>
      <w:szCs w:val="42"/>
    </w:rPr>
  </w:style>
  <w:style w:type="paragraph" w:styleId="Titre3">
    <w:name w:val="heading 3"/>
    <w:basedOn w:val="Normal"/>
    <w:next w:val="Corpsdetexte"/>
    <w:qFormat/>
    <w:pPr>
      <w:keepNext/>
      <w:spacing w:after="120"/>
      <w:ind w:left="1134"/>
      <w:outlineLvl w:val="2"/>
    </w:pPr>
    <w:rPr>
      <w:rFonts w:ascii="Garamond" w:hAnsi="Garamond"/>
      <w:i/>
      <w:iCs/>
      <w:w w:val="65"/>
      <w:sz w:val="36"/>
      <w:szCs w:val="36"/>
    </w:rPr>
  </w:style>
  <w:style w:type="paragraph" w:styleId="Titre4">
    <w:name w:val="heading 4"/>
    <w:basedOn w:val="Normal"/>
    <w:next w:val="Corpsdetexte"/>
    <w:qFormat/>
    <w:pPr>
      <w:keepNext/>
      <w:numPr>
        <w:numId w:val="1"/>
      </w:numPr>
      <w:spacing w:before="120" w:after="120"/>
      <w:ind w:left="1134"/>
      <w:outlineLvl w:val="3"/>
    </w:pPr>
    <w:rPr>
      <w:rFonts w:ascii="Arial Black" w:hAnsi="Arial Black"/>
      <w:sz w:val="22"/>
      <w:szCs w:val="22"/>
    </w:rPr>
  </w:style>
  <w:style w:type="paragraph" w:styleId="Titre5">
    <w:name w:val="heading 5"/>
    <w:basedOn w:val="Normal"/>
    <w:next w:val="Corpsdetexte"/>
    <w:qFormat/>
    <w:pPr>
      <w:keepNext/>
      <w:spacing w:after="120"/>
      <w:ind w:left="1134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Corpsdetexte"/>
    <w:qFormat/>
    <w:pPr>
      <w:keepNext/>
      <w:spacing w:after="120"/>
      <w:ind w:left="1134"/>
      <w:outlineLvl w:val="5"/>
    </w:pPr>
    <w:rPr>
      <w:rFonts w:ascii="Arial" w:hAnsi="Arial" w:cs="Arial"/>
      <w:i/>
      <w:iCs/>
      <w:sz w:val="24"/>
      <w:szCs w:val="24"/>
    </w:rPr>
  </w:style>
  <w:style w:type="paragraph" w:styleId="Titre7">
    <w:name w:val="heading 7"/>
    <w:basedOn w:val="Normal"/>
    <w:next w:val="Corpsdetexte"/>
    <w:qFormat/>
    <w:pPr>
      <w:keepNext/>
      <w:spacing w:after="120"/>
      <w:ind w:left="1134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Documentsous-titre">
    <w:name w:val="Document (sous-titre)"/>
    <w:basedOn w:val="Normal"/>
    <w:next w:val="Corpsdetexte"/>
    <w:pPr>
      <w:spacing w:after="120"/>
      <w:ind w:left="1134"/>
      <w:jc w:val="center"/>
    </w:pPr>
    <w:rPr>
      <w:rFonts w:ascii="Garamond" w:hAnsi="Garamond"/>
      <w:color w:val="0000FF"/>
      <w:w w:val="65"/>
      <w:sz w:val="60"/>
      <w:szCs w:val="60"/>
    </w:rPr>
  </w:style>
  <w:style w:type="paragraph" w:customStyle="1" w:styleId="Documenttitre">
    <w:name w:val="Document (titre)"/>
    <w:basedOn w:val="Normal"/>
    <w:next w:val="Corpsdetexte"/>
    <w:pPr>
      <w:pBdr>
        <w:bottom w:val="single" w:sz="4" w:space="1" w:color="0000FF"/>
      </w:pBdr>
      <w:ind w:left="1134"/>
      <w:jc w:val="center"/>
    </w:pPr>
    <w:rPr>
      <w:rFonts w:ascii="Garamond" w:hAnsi="Garamond"/>
      <w:color w:val="0000FF"/>
      <w:w w:val="65"/>
      <w:sz w:val="72"/>
      <w:szCs w:val="72"/>
    </w:rPr>
  </w:style>
  <w:style w:type="paragraph" w:customStyle="1" w:styleId="Modletitre">
    <w:name w:val="Modèle (titre)"/>
    <w:basedOn w:val="Normal"/>
    <w:next w:val="Corpsdetexte"/>
    <w:pPr>
      <w:spacing w:after="120"/>
      <w:ind w:left="1134"/>
      <w:jc w:val="center"/>
    </w:pPr>
    <w:rPr>
      <w:b/>
      <w:bCs/>
      <w:w w:val="60"/>
      <w:sz w:val="48"/>
      <w:szCs w:val="48"/>
    </w:rPr>
  </w:style>
  <w:style w:type="paragraph" w:customStyle="1" w:styleId="Questionnaire">
    <w:name w:val="Questionnaire"/>
    <w:basedOn w:val="Corpsdetexte"/>
    <w:next w:val="Corpsdetexte"/>
    <w:pPr>
      <w:tabs>
        <w:tab w:val="right" w:leader="underscore" w:pos="9072"/>
      </w:tabs>
    </w:pPr>
  </w:style>
  <w:style w:type="paragraph" w:customStyle="1" w:styleId="Sparateur">
    <w:name w:val="Séparateur"/>
    <w:basedOn w:val="Corpsdetexte"/>
    <w:next w:val="Corpsdetexte"/>
    <w:pPr>
      <w:spacing w:before="120"/>
      <w:ind w:left="907"/>
    </w:pPr>
    <w:rPr>
      <w:i/>
      <w:iCs/>
      <w:color w:val="0000FF"/>
    </w:rPr>
  </w:style>
  <w:style w:type="paragraph" w:customStyle="1" w:styleId="Soussignintroducteur">
    <w:name w:val="Soussigné (introducteur)"/>
    <w:basedOn w:val="Normal"/>
    <w:pPr>
      <w:tabs>
        <w:tab w:val="left" w:leader="dot" w:pos="5670"/>
      </w:tabs>
      <w:spacing w:after="120" w:line="240" w:lineRule="atLeast"/>
      <w:ind w:left="1134"/>
    </w:pPr>
    <w:rPr>
      <w:rFonts w:ascii="Garamond" w:hAnsi="Garamond"/>
      <w:b/>
      <w:bCs/>
      <w:sz w:val="22"/>
      <w:szCs w:val="22"/>
    </w:rPr>
  </w:style>
  <w:style w:type="paragraph" w:customStyle="1" w:styleId="Soussignpartie">
    <w:name w:val="Soussigné (partie)"/>
    <w:basedOn w:val="Normal"/>
    <w:pPr>
      <w:tabs>
        <w:tab w:val="left" w:leader="dot" w:pos="5670"/>
        <w:tab w:val="left" w:leader="dot" w:pos="8670"/>
      </w:tabs>
      <w:spacing w:after="120" w:line="240" w:lineRule="atLeast"/>
      <w:ind w:left="5000"/>
    </w:pPr>
    <w:rPr>
      <w:rFonts w:ascii="Garamond" w:hAnsi="Garamond"/>
      <w:sz w:val="22"/>
      <w:szCs w:val="22"/>
    </w:rPr>
  </w:style>
  <w:style w:type="paragraph" w:customStyle="1" w:styleId="Soussigntexte">
    <w:name w:val="Soussigné (texte)"/>
    <w:basedOn w:val="Normal"/>
    <w:pPr>
      <w:tabs>
        <w:tab w:val="left" w:leader="dot" w:pos="5670"/>
      </w:tabs>
      <w:spacing w:after="120" w:line="240" w:lineRule="atLeast"/>
      <w:ind w:left="1701"/>
    </w:pPr>
    <w:rPr>
      <w:rFonts w:ascii="Garamond" w:hAnsi="Garamond"/>
      <w:sz w:val="22"/>
      <w:szCs w:val="22"/>
    </w:rPr>
  </w:style>
  <w:style w:type="paragraph" w:customStyle="1" w:styleId="Titre1introducteur">
    <w:name w:val="Titre 1 (introducteur)"/>
    <w:basedOn w:val="Normal"/>
    <w:next w:val="Corpsdetexte"/>
    <w:pPr>
      <w:ind w:left="1134"/>
      <w:jc w:val="center"/>
    </w:pPr>
    <w:rPr>
      <w:rFonts w:ascii="Arial" w:hAnsi="Arial" w:cs="Arial"/>
      <w:caps/>
      <w:sz w:val="24"/>
      <w:szCs w:val="24"/>
      <w:u w:val="single"/>
    </w:rPr>
  </w:style>
  <w:style w:type="paragraph" w:styleId="Adressedestinataire">
    <w:name w:val="envelope address"/>
    <w:basedOn w:val="Corpsdetexte"/>
    <w:next w:val="Corpsdetexte"/>
    <w:pPr>
      <w:spacing w:after="0"/>
      <w:ind w:left="4536"/>
    </w:pPr>
  </w:style>
  <w:style w:type="paragraph" w:styleId="Adresseexpditeur">
    <w:name w:val="envelope return"/>
    <w:basedOn w:val="Corpsdetexte"/>
    <w:next w:val="Corpsdetexte"/>
    <w:pPr>
      <w:spacing w:after="0"/>
    </w:pPr>
  </w:style>
  <w:style w:type="paragraph" w:styleId="Date">
    <w:name w:val="Date"/>
    <w:basedOn w:val="Corpsdetexte"/>
    <w:next w:val="Corpsdetexte"/>
    <w:pPr>
      <w:spacing w:after="0"/>
      <w:ind w:left="6804"/>
    </w:pPr>
  </w:style>
  <w:style w:type="paragraph" w:styleId="Salutations">
    <w:name w:val="Salutation"/>
    <w:basedOn w:val="Corpsdetexte"/>
    <w:next w:val="Corpsdetexte"/>
    <w:pPr>
      <w:spacing w:after="0"/>
      <w:ind w:left="1701"/>
    </w:pPr>
  </w:style>
  <w:style w:type="paragraph" w:styleId="Signature">
    <w:name w:val="Signature"/>
    <w:basedOn w:val="Corpsdetexte"/>
    <w:pPr>
      <w:ind w:left="5387"/>
    </w:pPr>
  </w:style>
  <w:style w:type="paragraph" w:customStyle="1" w:styleId="Rappel">
    <w:name w:val="Rappel"/>
    <w:basedOn w:val="Normal"/>
    <w:next w:val="Corpsdetexte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Emetteur">
    <w:name w:val="Emetteur"/>
    <w:basedOn w:val="Normal"/>
    <w:next w:val="Corpsdetexte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non-ordoniv1">
    <w:name w:val="liste non-ordo(niv1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ordoniv1">
    <w:name w:val="liste ordo (niv1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customStyle="1" w:styleId="listesimple-">
    <w:name w:val="liste simple (-)"/>
    <w:basedOn w:val="Normal"/>
    <w:pPr>
      <w:spacing w:after="120"/>
      <w:ind w:left="1134"/>
    </w:pPr>
    <w:rPr>
      <w:rFonts w:ascii="Garamond" w:hAnsi="Garamond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rsid w:val="00583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32AE"/>
  </w:style>
  <w:style w:type="character" w:customStyle="1" w:styleId="PieddepageCar">
    <w:name w:val="Pied de page Car"/>
    <w:basedOn w:val="Policepardfaut"/>
    <w:link w:val="Pieddepage"/>
    <w:uiPriority w:val="99"/>
    <w:rsid w:val="005832AE"/>
  </w:style>
  <w:style w:type="paragraph" w:styleId="Textedebulles">
    <w:name w:val="Balloon Text"/>
    <w:basedOn w:val="Normal"/>
    <w:link w:val="TextedebullesCar"/>
    <w:rsid w:val="00A169E5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A169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4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 &gt;</vt:lpstr>
    </vt:vector>
  </TitlesOfParts>
  <Company>LAMY SA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&gt;</dc:title>
  <dc:creator>Portage</dc:creator>
  <cp:lastModifiedBy>habiba</cp:lastModifiedBy>
  <cp:revision>2</cp:revision>
  <cp:lastPrinted>2012-03-25T19:12:00Z</cp:lastPrinted>
  <dcterms:created xsi:type="dcterms:W3CDTF">2015-02-11T17:21:00Z</dcterms:created>
  <dcterms:modified xsi:type="dcterms:W3CDTF">2015-02-11T17:21:00Z</dcterms:modified>
</cp:coreProperties>
</file>