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20F6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0660C3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20F64">
        <w:rPr>
          <w:rFonts w:ascii="Verdana" w:hAnsi="Verdana"/>
          <w:sz w:val="20"/>
          <w:szCs w:val="20"/>
        </w:rPr>
        <w:t>26/</w:t>
      </w:r>
      <w:r w:rsidR="00261FE6">
        <w:rPr>
          <w:rFonts w:ascii="Verdana" w:hAnsi="Verdana"/>
          <w:sz w:val="20"/>
          <w:szCs w:val="20"/>
        </w:rPr>
        <w:t>0</w:t>
      </w:r>
      <w:r w:rsidR="00E20F64">
        <w:rPr>
          <w:rFonts w:ascii="Verdana" w:hAnsi="Verdana"/>
          <w:sz w:val="20"/>
          <w:szCs w:val="20"/>
        </w:rPr>
        <w:t>6</w:t>
      </w:r>
      <w:r w:rsidR="00261FE6">
        <w:rPr>
          <w:rFonts w:ascii="Verdana" w:hAnsi="Verdana"/>
          <w:sz w:val="20"/>
          <w:szCs w:val="20"/>
        </w:rPr>
        <w:t>/2019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261FE6">
        <w:rPr>
          <w:rFonts w:ascii="Verdana" w:hAnsi="Verdana"/>
          <w:sz w:val="20"/>
          <w:szCs w:val="20"/>
        </w:rPr>
        <w:t>9</w:t>
      </w:r>
      <w:r w:rsidRPr="00A867A8">
        <w:rPr>
          <w:sz w:val="20"/>
          <w:szCs w:val="20"/>
        </w:rPr>
        <w:t>‐</w:t>
      </w:r>
      <w:r w:rsidR="00261FE6">
        <w:rPr>
          <w:rFonts w:ascii="Verdana" w:hAnsi="Verdana"/>
          <w:sz w:val="20"/>
          <w:szCs w:val="20"/>
        </w:rPr>
        <w:t>2</w:t>
      </w:r>
      <w:r w:rsidR="00E20F64">
        <w:rPr>
          <w:rFonts w:ascii="Verdana" w:hAnsi="Verdana"/>
          <w:sz w:val="20"/>
          <w:szCs w:val="20"/>
        </w:rPr>
        <w:t>80</w:t>
      </w:r>
    </w:p>
    <w:tbl>
      <w:tblPr>
        <w:tblStyle w:val="Grilledutableau"/>
        <w:tblW w:w="10823" w:type="dxa"/>
        <w:tblInd w:w="-7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121"/>
        <w:gridCol w:w="1567"/>
        <w:gridCol w:w="1567"/>
        <w:gridCol w:w="29"/>
        <w:gridCol w:w="1529"/>
        <w:gridCol w:w="10"/>
      </w:tblGrid>
      <w:tr w:rsidR="00C44232" w:rsidTr="00A52F52">
        <w:tc>
          <w:tcPr>
            <w:tcW w:w="6121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 xml:space="preserve"> mensuel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44232" w:rsidRPr="00730D88" w:rsidRDefault="00A52F5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C44232" w:rsidRPr="009F3BBA" w:rsidRDefault="00C44232" w:rsidP="00DC6DD8">
            <w:pPr>
              <w:tabs>
                <w:tab w:val="left" w:pos="5103"/>
              </w:tabs>
              <w:spacing w:before="60" w:after="6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A52F52">
        <w:tc>
          <w:tcPr>
            <w:tcW w:w="6121" w:type="dxa"/>
            <w:tcBorders>
              <w:bottom w:val="single" w:sz="4" w:space="0" w:color="F2F2F2" w:themeColor="background1" w:themeShade="F2"/>
            </w:tcBorders>
          </w:tcPr>
          <w:p w:rsidR="00DC6DD8" w:rsidRPr="00DC6DD8" w:rsidRDefault="00DC6DD8" w:rsidP="00E20F64">
            <w:pPr>
              <w:tabs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DC6DD8">
              <w:rPr>
                <w:rFonts w:ascii="Verdana" w:hAnsi="Verdana"/>
                <w:b/>
                <w:sz w:val="20"/>
                <w:szCs w:val="20"/>
              </w:rPr>
              <w:t>Référencement naturel du site internet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2F52">
              <w:rPr>
                <w:rFonts w:ascii="Verdana" w:hAnsi="Verdana"/>
                <w:sz w:val="20"/>
                <w:szCs w:val="20"/>
              </w:rPr>
              <w:br/>
            </w:r>
            <w:r w:rsidR="009376F6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(suivant devis n° AL2016-69 du 8 avril 2016)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br/>
              <w:t xml:space="preserve">Périodes concernée : </w:t>
            </w:r>
            <w:r w:rsidR="00E20F64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mai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– </w:t>
            </w:r>
            <w:r w:rsidR="00E20F64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juin</w:t>
            </w:r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et </w:t>
            </w:r>
            <w:r w:rsidR="00E20F64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juillet</w:t>
            </w:r>
            <w:bookmarkStart w:id="0" w:name="_GoBack"/>
            <w:bookmarkEnd w:id="0"/>
            <w:r w:rsidR="00A52F52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2019</w:t>
            </w:r>
          </w:p>
        </w:tc>
        <w:tc>
          <w:tcPr>
            <w:tcW w:w="1567" w:type="dxa"/>
          </w:tcPr>
          <w:p w:rsidR="00C44232" w:rsidRPr="00DC6DD8" w:rsidRDefault="00C44232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DC6DD8" w:rsidRDefault="00DC6DD8" w:rsidP="00DC6DD8">
            <w:pPr>
              <w:tabs>
                <w:tab w:val="right" w:pos="1137"/>
                <w:tab w:val="left" w:pos="5103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31A3C"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  <w:tc>
          <w:tcPr>
            <w:tcW w:w="1567" w:type="dxa"/>
          </w:tcPr>
          <w:p w:rsidR="00C44232" w:rsidRDefault="00C44232" w:rsidP="00DC6DD8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A52F52" w:rsidP="00261FE6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68" w:type="dxa"/>
            <w:gridSpan w:val="3"/>
          </w:tcPr>
          <w:p w:rsidR="00C44232" w:rsidRDefault="00C44232" w:rsidP="00DC6DD8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C6DD8" w:rsidRPr="009F3BBA" w:rsidRDefault="00A52F52" w:rsidP="00261FE6">
            <w:pPr>
              <w:tabs>
                <w:tab w:val="right" w:pos="1319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C6DD8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DC6DD8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529" w:type="dxa"/>
          </w:tcPr>
          <w:p w:rsidR="00C44232" w:rsidRPr="000E0A46" w:rsidRDefault="00BF64D5" w:rsidP="009B5CD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9B5CDA">
              <w:rPr>
                <w:rFonts w:ascii="Verdana" w:hAnsi="Verdana"/>
                <w:sz w:val="20"/>
                <w:szCs w:val="20"/>
              </w:rPr>
              <w:t>4</w:t>
            </w:r>
            <w:r w:rsidR="00A52F52">
              <w:rPr>
                <w:rFonts w:ascii="Verdana" w:hAnsi="Verdana"/>
                <w:sz w:val="20"/>
                <w:szCs w:val="20"/>
              </w:rPr>
              <w:t>2</w:t>
            </w:r>
            <w:r w:rsidR="000660C3">
              <w:rPr>
                <w:rFonts w:ascii="Verdana" w:hAnsi="Verdana"/>
                <w:sz w:val="20"/>
                <w:szCs w:val="20"/>
              </w:rPr>
              <w:t>0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29" w:type="dxa"/>
          </w:tcPr>
          <w:p w:rsidR="00C44232" w:rsidRPr="000E0A46" w:rsidRDefault="009B5CDA" w:rsidP="00A52F5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</w:t>
            </w:r>
            <w:r w:rsidR="00A52F52">
              <w:rPr>
                <w:rFonts w:ascii="Verdana" w:hAnsi="Verdana"/>
                <w:sz w:val="20"/>
                <w:szCs w:val="20"/>
              </w:rPr>
              <w:t>4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29" w:type="dxa"/>
          </w:tcPr>
          <w:p w:rsidR="00C44232" w:rsidRPr="00813F68" w:rsidRDefault="00C44232" w:rsidP="009B5CDA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>504</w:t>
            </w:r>
            <w:r w:rsidR="000660C3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C44232" w:rsidTr="00A52F52">
        <w:trPr>
          <w:gridAfter w:val="1"/>
          <w:wAfter w:w="10" w:type="dxa"/>
        </w:trPr>
        <w:tc>
          <w:tcPr>
            <w:tcW w:w="612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63" w:type="dxa"/>
            <w:gridSpan w:val="3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29" w:type="dxa"/>
          </w:tcPr>
          <w:p w:rsidR="00C44232" w:rsidRPr="00813F68" w:rsidRDefault="00C44232" w:rsidP="00BF64D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52F52">
              <w:rPr>
                <w:rFonts w:ascii="Verdana" w:hAnsi="Verdana"/>
                <w:b/>
                <w:sz w:val="20"/>
                <w:szCs w:val="20"/>
              </w:rPr>
              <w:t>504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E51AE6" w:rsidRDefault="00E51AE6" w:rsidP="000660C3">
      <w:pPr>
        <w:tabs>
          <w:tab w:val="left" w:pos="4536"/>
        </w:tabs>
        <w:spacing w:after="0"/>
        <w:ind w:right="254"/>
        <w:rPr>
          <w:rFonts w:ascii="Verdana" w:hAnsi="Verdana"/>
          <w:b/>
          <w:sz w:val="20"/>
          <w:szCs w:val="20"/>
        </w:rPr>
      </w:pPr>
    </w:p>
    <w:p w:rsidR="009B5CDA" w:rsidRDefault="009B5CDA" w:rsidP="00C44232">
      <w:pPr>
        <w:tabs>
          <w:tab w:val="left" w:pos="4536"/>
        </w:tabs>
        <w:ind w:right="254"/>
        <w:rPr>
          <w:rFonts w:ascii="Verdana" w:hAnsi="Verdana"/>
          <w:i/>
          <w:iCs/>
          <w:sz w:val="20"/>
          <w:szCs w:val="20"/>
        </w:rPr>
      </w:pPr>
    </w:p>
    <w:p w:rsidR="009B5CDA" w:rsidRDefault="009B5CDA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r w:rsidRPr="00BD5784">
        <w:rPr>
          <w:rFonts w:ascii="Verdana" w:hAnsi="Verdana"/>
          <w:b/>
          <w:sz w:val="20"/>
          <w:szCs w:val="20"/>
        </w:rPr>
        <w:t xml:space="preserve"> 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DC6DD8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DC6DD8">
      <w:pPr>
        <w:tabs>
          <w:tab w:val="left" w:pos="4536"/>
        </w:tabs>
        <w:spacing w:line="240" w:lineRule="auto"/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A87"/>
    <w:multiLevelType w:val="hybridMultilevel"/>
    <w:tmpl w:val="5E4AAB30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0660C3"/>
    <w:rsid w:val="00192E6A"/>
    <w:rsid w:val="00261FE6"/>
    <w:rsid w:val="004E5AE4"/>
    <w:rsid w:val="00615D81"/>
    <w:rsid w:val="00843E83"/>
    <w:rsid w:val="009376F6"/>
    <w:rsid w:val="00954D25"/>
    <w:rsid w:val="009B5CDA"/>
    <w:rsid w:val="009E7D85"/>
    <w:rsid w:val="00A52F52"/>
    <w:rsid w:val="00B56C68"/>
    <w:rsid w:val="00BB5166"/>
    <w:rsid w:val="00BF64D5"/>
    <w:rsid w:val="00C44232"/>
    <w:rsid w:val="00CB4EF5"/>
    <w:rsid w:val="00D0059A"/>
    <w:rsid w:val="00DC6DD8"/>
    <w:rsid w:val="00E20F64"/>
    <w:rsid w:val="00E31A3C"/>
    <w:rsid w:val="00E51AE6"/>
    <w:rsid w:val="00F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4F1A-6970-4ED2-B850-7130322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2016-12-16T10:33:00Z</cp:lastPrinted>
  <dcterms:created xsi:type="dcterms:W3CDTF">2019-06-26T10:59:00Z</dcterms:created>
  <dcterms:modified xsi:type="dcterms:W3CDTF">2019-06-26T10:59:00Z</dcterms:modified>
</cp:coreProperties>
</file>