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A6234F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b/>
          <w:sz w:val="20"/>
          <w:szCs w:val="20"/>
        </w:rPr>
        <w:tab/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</w:t>
      </w:r>
      <w:r>
        <w:rPr>
          <w:rFonts w:ascii="Verdana" w:hAnsi="Verdana"/>
          <w:sz w:val="20"/>
          <w:szCs w:val="20"/>
        </w:rPr>
        <w:t>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Date : 21/03/2017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sz w:val="20"/>
          <w:szCs w:val="20"/>
        </w:rPr>
        <w:t>N° facture : AL2017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213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Forfait annuel :</w:t>
            </w:r>
          </w:p>
          <w:p w:rsidR="00286BE4" w:rsidRDefault="00A8347F">
            <w:pPr>
              <w:pStyle w:val="Paragraphedeliste"/>
              <w:numPr>
                <w:ilvl w:val="0"/>
                <w:numId w:val="4"/>
              </w:numPr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286BE4" w:rsidRDefault="00A8347F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 xml:space="preserve">Insertion des nouveaux articles (textes + visuels) </w:t>
            </w:r>
            <w:r>
              <w:rPr>
                <w:rFonts w:ascii="Verdana" w:hAnsi="Verdana"/>
                <w:sz w:val="20"/>
                <w:szCs w:val="20"/>
              </w:rPr>
              <w:t>fournis par vos soins pour les rubriques existantes (environ 5 par mois)</w:t>
            </w:r>
          </w:p>
          <w:p w:rsidR="00286BE4" w:rsidRDefault="00A8347F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>Service d’assistance téléphonique limitée à 2h par mois (pour toute question)</w:t>
            </w:r>
          </w:p>
          <w:p w:rsidR="00286BE4" w:rsidRDefault="00A8347F">
            <w:pPr>
              <w:pStyle w:val="Standard"/>
              <w:tabs>
                <w:tab w:val="left" w:pos="5103"/>
              </w:tabs>
              <w:spacing w:line="240" w:lineRule="auto"/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Formation individuelle </w:t>
            </w:r>
            <w:proofErr w:type="gramStart"/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Une formation individuelle sera dispensée à 4 personnes ayant en charge des </w:t>
            </w:r>
            <w:r>
              <w:rPr>
                <w:rFonts w:ascii="Verdana" w:hAnsi="Verdana"/>
                <w:sz w:val="20"/>
                <w:szCs w:val="20"/>
              </w:rPr>
              <w:t>parties distinctes du site. Chaque personne sera formée à la prise en main des rubriques concernées.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</w:tr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1 200.00 €</w:t>
            </w:r>
          </w:p>
        </w:tc>
      </w:tr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A8347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240.00 €</w:t>
            </w:r>
          </w:p>
        </w:tc>
      </w:tr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A8347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1 440.00 €</w:t>
            </w:r>
          </w:p>
        </w:tc>
      </w:tr>
      <w:tr w:rsidR="00286BE4">
        <w:tblPrEx>
          <w:tblCellMar>
            <w:top w:w="0" w:type="dxa"/>
            <w:bottom w:w="0" w:type="dxa"/>
          </w:tblCellMar>
        </w:tblPrEx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00000" w:rsidRDefault="00A8347F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1 440.00 €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Escompte pour paiement anticipé : néant</w:t>
      </w:r>
      <w:r>
        <w:rPr>
          <w:rFonts w:ascii="Verdana" w:hAnsi="Verdana"/>
          <w:i/>
          <w:iCs/>
          <w:sz w:val="20"/>
          <w:szCs w:val="20"/>
        </w:rPr>
        <w:br/>
      </w:r>
    </w:p>
    <w:p w:rsidR="00286BE4" w:rsidRDefault="00286BE4">
      <w:pPr>
        <w:pStyle w:val="Standard"/>
        <w:tabs>
          <w:tab w:val="left" w:pos="5245"/>
        </w:tabs>
        <w:ind w:left="142"/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lastRenderedPageBreak/>
        <w:t>Payable à réception par virement ou par chèque</w:t>
      </w: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adresser à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A6234F">
        <w:rPr>
          <w:rFonts w:ascii="Verdana" w:hAnsi="Verdana"/>
          <w:sz w:val="20"/>
          <w:szCs w:val="20"/>
        </w:rPr>
        <w:t>Thivel</w:t>
      </w:r>
      <w:proofErr w:type="spellEnd"/>
      <w:r w:rsidR="00A6234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A6234F">
        <w:rPr>
          <w:rFonts w:ascii="Verdana" w:hAnsi="Verdana"/>
          <w:sz w:val="20"/>
          <w:szCs w:val="20"/>
        </w:rPr>
        <w:t>Sury</w:t>
      </w:r>
      <w:proofErr w:type="spellEnd"/>
      <w:r w:rsidR="00A6234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="00A8347F">
        <w:rPr>
          <w:rFonts w:ascii="Verdana" w:hAnsi="Verdana"/>
          <w:sz w:val="20"/>
          <w:szCs w:val="20"/>
        </w:rPr>
        <w:t>Craintilleux</w:t>
      </w:r>
      <w:proofErr w:type="spellEnd"/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>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40 € (décret n° 201</w:t>
      </w:r>
      <w:r>
        <w:rPr>
          <w:rFonts w:ascii="Verdana" w:hAnsi="Verdana"/>
          <w:sz w:val="20"/>
          <w:szCs w:val="20"/>
        </w:rPr>
        <w:t>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>
      <w:footerReference w:type="even" r:id="rId8"/>
      <w:footerReference w:type="default" r:id="rId9"/>
      <w:pgSz w:w="11906" w:h="16838"/>
      <w:pgMar w:top="1417" w:right="424" w:bottom="568" w:left="709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7F" w:rsidRDefault="00A8347F">
      <w:pPr>
        <w:spacing w:after="0" w:line="240" w:lineRule="auto"/>
      </w:pPr>
      <w:r>
        <w:separator/>
      </w:r>
    </w:p>
  </w:endnote>
  <w:endnote w:type="continuationSeparator" w:id="0">
    <w:p w:rsidR="00A8347F" w:rsidRDefault="00A8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2" w:type="pct"/>
      <w:tblInd w:w="1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2085"/>
    </w:tblGrid>
    <w:tr w:rsidR="004F1738" w:rsidRPr="00E50326" w:rsidTr="004F1738">
      <w:tc>
        <w:tcPr>
          <w:tcW w:w="4057" w:type="pct"/>
          <w:shd w:val="clear" w:color="auto" w:fill="auto"/>
        </w:tcPr>
        <w:p w:rsidR="004F1738" w:rsidRPr="001F782D" w:rsidRDefault="004F1738" w:rsidP="004F1738">
          <w:pPr>
            <w:pStyle w:val="Pieddepage"/>
            <w:rPr>
              <w:rFonts w:ascii="Verdana" w:hAnsi="Verdana"/>
              <w:sz w:val="18"/>
              <w:szCs w:val="18"/>
            </w:rPr>
          </w:pPr>
          <w:r w:rsidRPr="001F782D">
            <w:rPr>
              <w:rFonts w:ascii="Verdana" w:hAnsi="Verdana"/>
              <w:sz w:val="18"/>
              <w:szCs w:val="18"/>
            </w:rPr>
            <w:t xml:space="preserve">SARL </w:t>
          </w:r>
          <w:proofErr w:type="spellStart"/>
          <w:r w:rsidRPr="001F782D">
            <w:rPr>
              <w:rFonts w:ascii="Verdana" w:hAnsi="Verdana"/>
              <w:sz w:val="18"/>
              <w:szCs w:val="18"/>
            </w:rPr>
            <w:t>Allizéo</w:t>
          </w:r>
          <w:proofErr w:type="spellEnd"/>
          <w:r w:rsidRPr="001F782D">
            <w:rPr>
              <w:rFonts w:ascii="Verdana" w:hAnsi="Verdana"/>
              <w:sz w:val="18"/>
              <w:szCs w:val="18"/>
            </w:rPr>
            <w:t xml:space="preserve"> Web - 30, Av. Général Leclerc – Espace St Germain – Bât. l’Ellipse – 38200 Vienne</w:t>
          </w:r>
        </w:p>
      </w:tc>
      <w:tc>
        <w:tcPr>
          <w:tcW w:w="943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9"/>
            <w:docPartObj>
              <w:docPartGallery w:val="Page Numbers (Top of Page)"/>
              <w:docPartUnique/>
            </w:docPartObj>
          </w:sdtPr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B362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B362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rPr>
              <w:rFonts w:ascii="Verdana" w:hAnsi="Verdana"/>
              <w:sz w:val="20"/>
              <w:szCs w:val="20"/>
            </w:rPr>
          </w:pPr>
          <w:r w:rsidRPr="00E50326">
            <w:rPr>
              <w:rFonts w:ascii="Verdana" w:eastAsia="Calibri" w:hAnsi="Verdana" w:cs="Arial"/>
              <w:sz w:val="16"/>
              <w:szCs w:val="16"/>
            </w:rPr>
            <w:t xml:space="preserve">SARL au capital de 6.000 € - Siret 750 800 229 00015 - RCS Saint-Etienne : B 750 800 229 – N° Tva </w:t>
          </w:r>
          <w:proofErr w:type="spellStart"/>
          <w:r w:rsidRPr="00E50326">
            <w:rPr>
              <w:rFonts w:ascii="Verdana" w:eastAsia="Calibri" w:hAnsi="Verdana" w:cs="Arial"/>
              <w:sz w:val="16"/>
              <w:szCs w:val="16"/>
            </w:rPr>
            <w:t>intracom</w:t>
          </w:r>
          <w:proofErr w:type="spellEnd"/>
          <w:r w:rsidRPr="00E50326">
            <w:rPr>
              <w:rFonts w:ascii="Verdana" w:eastAsia="Calibri" w:hAnsi="Verdana" w:cs="Arial"/>
              <w:sz w:val="16"/>
              <w:szCs w:val="16"/>
            </w:rPr>
            <w:t> : FR 74 750800229</w:t>
          </w:r>
        </w:p>
      </w:tc>
    </w:tr>
  </w:tbl>
  <w:p w:rsidR="00BA28CF" w:rsidRDefault="00A834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A8347F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164162681"/>
            <w:docPartObj>
              <w:docPartGallery w:val="Page Numbers (Top of Page)"/>
              <w:docPartUnique/>
            </w:docPartObj>
          </w:sdtPr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B3627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B362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Default="00A834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7F" w:rsidRDefault="00A834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347F" w:rsidRDefault="00A8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6BE4"/>
    <w:rsid w:val="00286BE4"/>
    <w:rsid w:val="00494A91"/>
    <w:rsid w:val="004B3627"/>
    <w:rsid w:val="004F1738"/>
    <w:rsid w:val="00A6234F"/>
    <w:rsid w:val="00A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D76EB-BE7C-4A77-9ED6-A525104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2017-03-22T16:05:00Z</cp:lastPrinted>
  <dcterms:created xsi:type="dcterms:W3CDTF">2016-03-14T10:03:00Z</dcterms:created>
  <dcterms:modified xsi:type="dcterms:W3CDTF">2017-03-22T16:31:00Z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